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2B4" w:rsidRDefault="002412B4" w14:paraId="547D3022" w14:textId="77777777"/>
    <w:p w:rsidR="002412B4" w:rsidRDefault="002412B4" w14:paraId="6A98DBAA" w14:textId="77777777"/>
    <w:p w:rsidR="002412B4" w:rsidRDefault="002412B4" w14:paraId="19E98FB0" w14:textId="77777777"/>
    <w:p w:rsidR="002412B4" w:rsidP="002412B4" w:rsidRDefault="002412B4" w14:paraId="77E2F874" w14:textId="77777777">
      <w:pPr>
        <w:pStyle w:val="Default"/>
      </w:pPr>
    </w:p>
    <w:p w:rsidR="002412B4" w:rsidP="002412B4" w:rsidRDefault="002412B4" w14:paraId="596279D1" w14:textId="3BFF39C2">
      <w:pPr>
        <w:pStyle w:val="Default"/>
        <w:jc w:val="center"/>
        <w:rPr>
          <w:sz w:val="36"/>
          <w:szCs w:val="36"/>
          <w:lang w:val="en-US"/>
        </w:rPr>
      </w:pPr>
      <w:r w:rsidRPr="002412B4">
        <w:rPr>
          <w:sz w:val="36"/>
          <w:szCs w:val="36"/>
          <w:lang w:val="en-US"/>
        </w:rPr>
        <w:t xml:space="preserve">21NRM04 </w:t>
      </w:r>
      <w:proofErr w:type="spellStart"/>
      <w:r w:rsidRPr="002412B4">
        <w:rPr>
          <w:sz w:val="36"/>
          <w:szCs w:val="36"/>
          <w:lang w:val="en-US"/>
        </w:rPr>
        <w:t>BiometCAP</w:t>
      </w:r>
      <w:proofErr w:type="spellEnd"/>
    </w:p>
    <w:p w:rsidRPr="002412B4" w:rsidR="002412B4" w:rsidP="002412B4" w:rsidRDefault="002412B4" w14:paraId="36883F96" w14:textId="77777777">
      <w:pPr>
        <w:pStyle w:val="Default"/>
        <w:jc w:val="center"/>
        <w:rPr>
          <w:sz w:val="36"/>
          <w:szCs w:val="36"/>
          <w:lang w:val="en-US"/>
        </w:rPr>
      </w:pPr>
    </w:p>
    <w:p w:rsidR="002412B4" w:rsidP="002412B4" w:rsidRDefault="002412B4" w14:paraId="42476CED" w14:textId="77777777">
      <w:pPr>
        <w:pStyle w:val="Default"/>
        <w:rPr>
          <w:sz w:val="36"/>
          <w:szCs w:val="36"/>
          <w:lang w:val="en-US"/>
        </w:rPr>
      </w:pPr>
    </w:p>
    <w:p w:rsidR="0E448908" w:rsidP="0E448908" w:rsidRDefault="0E448908" w14:paraId="6EF9A917" w14:textId="52301F96">
      <w:pPr>
        <w:pStyle w:val="Normal"/>
        <w:jc w:val="both"/>
        <w:rPr>
          <w:rFonts w:ascii="Arial" w:hAnsi="Arial" w:cs="Arial"/>
          <w:b w:val="1"/>
          <w:bCs w:val="1"/>
          <w:sz w:val="28"/>
          <w:szCs w:val="28"/>
          <w:lang w:val="en-GB"/>
        </w:rPr>
      </w:pPr>
    </w:p>
    <w:p w:rsidR="0E448908" w:rsidP="0E448908" w:rsidRDefault="0E448908" w14:paraId="2D2D44F8" w14:textId="253297C2">
      <w:pPr>
        <w:pStyle w:val="Normal"/>
        <w:jc w:val="both"/>
        <w:rPr>
          <w:rFonts w:ascii="Arial" w:hAnsi="Arial" w:cs="Arial"/>
          <w:b w:val="1"/>
          <w:bCs w:val="1"/>
          <w:sz w:val="28"/>
          <w:szCs w:val="28"/>
          <w:lang w:val="en-GB"/>
        </w:rPr>
      </w:pPr>
    </w:p>
    <w:p w:rsidRPr="004F5067" w:rsidR="004F5067" w:rsidP="0E448908" w:rsidRDefault="004F5067" w14:paraId="6DADA9FF" w14:textId="0848E8CB">
      <w:pPr>
        <w:pStyle w:val="Normal"/>
        <w:jc w:val="both"/>
        <w:rPr>
          <w:rFonts w:ascii="Arial" w:hAnsi="Arial" w:cs="Arial"/>
          <w:sz w:val="32"/>
          <w:szCs w:val="32"/>
          <w:lang w:val="en-GB"/>
        </w:rPr>
      </w:pPr>
      <w:r w:rsidRPr="0E448908" w:rsidR="61D79B1D">
        <w:rPr>
          <w:rFonts w:ascii="Arial" w:hAnsi="Arial" w:cs="Arial"/>
          <w:b w:val="1"/>
          <w:bCs w:val="1"/>
          <w:sz w:val="32"/>
          <w:szCs w:val="32"/>
          <w:lang w:val="en-GB"/>
        </w:rPr>
        <w:t>A3.1.2</w:t>
      </w:r>
      <w:r w:rsidRPr="0E448908" w:rsidR="6B81FD03">
        <w:rPr>
          <w:rFonts w:ascii="Arial" w:hAnsi="Arial" w:cs="Arial"/>
          <w:b w:val="1"/>
          <w:bCs w:val="1"/>
          <w:sz w:val="32"/>
          <w:szCs w:val="32"/>
          <w:lang w:val="en-GB"/>
        </w:rPr>
        <w:t>:</w:t>
      </w:r>
      <w:r w:rsidRPr="0E448908" w:rsidR="61D79B1D">
        <w:rPr>
          <w:rFonts w:ascii="Arial" w:hAnsi="Arial" w:cs="Arial"/>
          <w:b w:val="1"/>
          <w:bCs w:val="1"/>
          <w:sz w:val="32"/>
          <w:szCs w:val="32"/>
          <w:lang w:val="en-GB"/>
        </w:rPr>
        <w:t xml:space="preserve"> </w:t>
      </w:r>
      <w:r w:rsidRPr="0E448908" w:rsidR="004F5067">
        <w:rPr>
          <w:rFonts w:ascii="Arial" w:hAnsi="Arial" w:cs="Arial"/>
          <w:b w:val="1"/>
          <w:bCs w:val="1"/>
          <w:sz w:val="32"/>
          <w:szCs w:val="32"/>
          <w:lang w:val="en-GB"/>
        </w:rPr>
        <w:t>Identification of the performance characteristics of the selected industrial gas analysers and reference instrumentations</w:t>
      </w:r>
    </w:p>
    <w:p w:rsidR="002412B4" w:rsidP="0E448908" w:rsidRDefault="002412B4" w14:paraId="7D114B59" w14:textId="77777777" w14:noSpellErr="1">
      <w:pPr>
        <w:jc w:val="both"/>
        <w:rPr>
          <w:lang w:val="en-GB"/>
        </w:rPr>
      </w:pPr>
    </w:p>
    <w:p w:rsidR="00A845E4" w:rsidP="00A845E4" w:rsidRDefault="00A845E4" w14:paraId="799762E0" w14:textId="77777777">
      <w:pPr>
        <w:rPr>
          <w:lang w:val="en-GB"/>
        </w:rPr>
      </w:pPr>
    </w:p>
    <w:p w:rsidR="0E448908" w:rsidP="0E448908" w:rsidRDefault="0E448908" w14:paraId="70B3E3DB" w14:textId="172DA75C">
      <w:pPr>
        <w:rPr>
          <w:rFonts w:ascii="Arial" w:hAnsi="Arial" w:cs="Arial"/>
          <w:lang w:val="en-GB"/>
        </w:rPr>
      </w:pPr>
    </w:p>
    <w:p w:rsidR="0E448908" w:rsidP="0E448908" w:rsidRDefault="0E448908" w14:paraId="26C17E50" w14:textId="616DDE12">
      <w:pPr>
        <w:rPr>
          <w:rFonts w:ascii="Arial" w:hAnsi="Arial" w:cs="Arial"/>
          <w:lang w:val="en-GB"/>
        </w:rPr>
      </w:pPr>
    </w:p>
    <w:p w:rsidR="0E448908" w:rsidP="0E448908" w:rsidRDefault="0E448908" w14:paraId="7D1DFE59" w14:textId="12923860">
      <w:pPr>
        <w:rPr>
          <w:rFonts w:ascii="Arial" w:hAnsi="Arial" w:cs="Arial"/>
          <w:lang w:val="en-GB"/>
        </w:rPr>
      </w:pPr>
    </w:p>
    <w:p w:rsidR="0E448908" w:rsidP="0E448908" w:rsidRDefault="0E448908" w14:paraId="72599632" w14:textId="4BC8B945">
      <w:pPr>
        <w:rPr>
          <w:rFonts w:ascii="Arial" w:hAnsi="Arial" w:cs="Arial"/>
          <w:lang w:val="en-GB"/>
        </w:rPr>
      </w:pPr>
    </w:p>
    <w:p w:rsidR="0E448908" w:rsidP="0E448908" w:rsidRDefault="0E448908" w14:paraId="650DFDB7" w14:textId="2F386E11">
      <w:pPr>
        <w:rPr>
          <w:rFonts w:ascii="Arial" w:hAnsi="Arial" w:cs="Arial"/>
          <w:lang w:val="en-GB"/>
        </w:rPr>
      </w:pPr>
    </w:p>
    <w:p w:rsidR="0E448908" w:rsidP="0E448908" w:rsidRDefault="0E448908" w14:paraId="199EE937" w14:textId="2F6633AC">
      <w:pPr>
        <w:rPr>
          <w:rFonts w:ascii="Arial" w:hAnsi="Arial" w:cs="Arial"/>
          <w:lang w:val="en-GB"/>
        </w:rPr>
      </w:pPr>
    </w:p>
    <w:p w:rsidR="0E448908" w:rsidP="0E448908" w:rsidRDefault="0E448908" w14:paraId="5576CA68" w14:textId="7873DDE3">
      <w:pPr>
        <w:rPr>
          <w:rFonts w:ascii="Arial" w:hAnsi="Arial" w:cs="Arial"/>
          <w:lang w:val="en-GB"/>
        </w:rPr>
      </w:pPr>
    </w:p>
    <w:p w:rsidR="0E448908" w:rsidP="0E448908" w:rsidRDefault="0E448908" w14:paraId="35763663" w14:textId="08E839CA">
      <w:pPr>
        <w:rPr>
          <w:rFonts w:ascii="Arial" w:hAnsi="Arial" w:cs="Arial"/>
          <w:lang w:val="en-GB"/>
        </w:rPr>
      </w:pPr>
    </w:p>
    <w:p w:rsidRPr="004F5067" w:rsidR="002412B4" w:rsidP="0E448908" w:rsidRDefault="002412B4" w14:paraId="453B6AD8" w14:textId="304F9D4D">
      <w:pPr>
        <w:pStyle w:val="Normal"/>
        <w:rPr>
          <w:rFonts w:ascii="Arial" w:hAnsi="Arial" w:eastAsia="Times New Roman" w:cs="Arial"/>
          <w:color w:val="000000" w:themeColor="text1" w:themeTint="FF" w:themeShade="FF"/>
          <w:lang w:val="en-US" w:eastAsia="de-DE"/>
        </w:rPr>
      </w:pPr>
      <w:r w:rsidRPr="0E448908" w:rsidR="179AFB7B">
        <w:rPr>
          <w:rFonts w:ascii="Arial" w:hAnsi="Arial" w:cs="Arial"/>
          <w:b w:val="1"/>
          <w:bCs w:val="1"/>
          <w:lang w:val="en-GB"/>
        </w:rPr>
        <w:t>Partners</w:t>
      </w:r>
      <w:r w:rsidRPr="0E448908" w:rsidR="002412B4">
        <w:rPr>
          <w:rFonts w:ascii="Arial" w:hAnsi="Arial" w:cs="Arial"/>
          <w:b w:val="1"/>
          <w:bCs w:val="1"/>
          <w:lang w:val="en-GB"/>
        </w:rPr>
        <w:t>:</w:t>
      </w:r>
      <w:r w:rsidRPr="0E448908" w:rsidR="00A845E4">
        <w:rPr>
          <w:rFonts w:ascii="Arial" w:hAnsi="Arial" w:cs="Arial"/>
          <w:lang w:val="en-GB"/>
        </w:rPr>
        <w:t xml:space="preserve"> </w:t>
      </w:r>
      <w:r w:rsidRPr="0E448908" w:rsidR="5350198E">
        <w:rPr>
          <w:rFonts w:ascii="Arial" w:hAnsi="Arial" w:cs="Arial"/>
          <w:lang w:val="en-GB"/>
        </w:rPr>
        <w:t xml:space="preserve">PTB, </w:t>
      </w:r>
      <w:r w:rsidRPr="0E448908" w:rsidR="5350198E">
        <w:rPr>
          <w:rFonts w:ascii="Arial" w:hAnsi="Arial" w:eastAsia="Times New Roman" w:cs="Arial"/>
          <w:color w:val="000000" w:themeColor="text1" w:themeTint="FF" w:themeShade="FF"/>
          <w:lang w:val="en-US" w:eastAsia="de-DE"/>
        </w:rPr>
        <w:t>NPL, TFS, GERG, DTU</w:t>
      </w:r>
      <w:r w:rsidRPr="0E448908" w:rsidR="66361A6F">
        <w:rPr>
          <w:rFonts w:ascii="Arial" w:hAnsi="Arial" w:eastAsia="Times New Roman" w:cs="Arial"/>
          <w:color w:val="000000" w:themeColor="text1" w:themeTint="FF" w:themeShade="FF"/>
          <w:lang w:val="en-US" w:eastAsia="de-DE"/>
        </w:rPr>
        <w:t xml:space="preserve"> and </w:t>
      </w:r>
      <w:r w:rsidRPr="0E448908" w:rsidR="5350198E">
        <w:rPr>
          <w:rFonts w:ascii="Arial" w:hAnsi="Arial" w:eastAsia="Times New Roman" w:cs="Arial"/>
          <w:color w:val="000000" w:themeColor="text1" w:themeTint="FF" w:themeShade="FF"/>
          <w:lang w:val="en-US" w:eastAsia="de-DE"/>
        </w:rPr>
        <w:t>VTT</w:t>
      </w:r>
    </w:p>
    <w:p w:rsidR="004F5067" w:rsidP="00A845E4" w:rsidRDefault="004F5067" w14:paraId="528C5BBE" w14:textId="77777777">
      <w:pPr>
        <w:rPr>
          <w:rFonts w:ascii="Arial" w:hAnsi="Arial" w:cs="Arial"/>
          <w:lang w:val="en-GB"/>
        </w:rPr>
      </w:pPr>
    </w:p>
    <w:p w:rsidR="00EE5344" w:rsidP="00A845E4" w:rsidRDefault="00EE5344" w14:paraId="606E4B9A" w14:textId="77777777">
      <w:pPr>
        <w:rPr>
          <w:rFonts w:ascii="Arial" w:hAnsi="Arial" w:cs="Arial"/>
          <w:lang w:val="en-GB"/>
        </w:rPr>
      </w:pPr>
    </w:p>
    <w:p w:rsidR="00EE5344" w:rsidP="00A845E4" w:rsidRDefault="00EE5344" w14:paraId="65BCC86C" w14:textId="77777777" w14:noSpellErr="1">
      <w:pPr>
        <w:rPr>
          <w:lang w:val="en-GB"/>
        </w:rPr>
      </w:pPr>
    </w:p>
    <w:p w:rsidR="0E448908" w:rsidP="0E448908" w:rsidRDefault="0E448908" w14:paraId="42512D6B" w14:textId="389F7E52">
      <w:pPr>
        <w:pStyle w:val="Normal"/>
        <w:rPr>
          <w:lang w:val="en-GB"/>
        </w:rPr>
      </w:pPr>
    </w:p>
    <w:p w:rsidR="0E448908" w:rsidP="0E448908" w:rsidRDefault="0E448908" w14:paraId="0AE4A616" w14:textId="7EF13552">
      <w:pPr>
        <w:pStyle w:val="Normal"/>
        <w:rPr>
          <w:lang w:val="en-GB"/>
        </w:rPr>
      </w:pPr>
    </w:p>
    <w:p w:rsidR="0E448908" w:rsidP="0E448908" w:rsidRDefault="0E448908" w14:paraId="1058799E" w14:textId="1754A6B6">
      <w:pPr>
        <w:pStyle w:val="Normal"/>
        <w:rPr>
          <w:lang w:val="en-GB"/>
        </w:rPr>
      </w:pPr>
    </w:p>
    <w:p w:rsidR="004F5067" w:rsidP="00A845E4" w:rsidRDefault="004F5067" w14:paraId="6F57B19C" w14:textId="77777777">
      <w:pPr>
        <w:rPr>
          <w:lang w:val="en-GB"/>
        </w:rPr>
      </w:pPr>
    </w:p>
    <w:p w:rsidR="0E448908" w:rsidP="0E448908" w:rsidRDefault="0E448908" w14:paraId="579FFAAD" w14:textId="5D46711A">
      <w:pPr>
        <w:pStyle w:val="Normal"/>
        <w:rPr>
          <w:rFonts w:ascii="Arial" w:hAnsi="Arial" w:cs="Arial"/>
          <w:b w:val="1"/>
          <w:bCs w:val="1"/>
          <w:sz w:val="28"/>
          <w:szCs w:val="28"/>
          <w:lang w:val="en-GB"/>
        </w:rPr>
      </w:pPr>
    </w:p>
    <w:p w:rsidRPr="004F5067" w:rsidR="004F5067" w:rsidP="0E448908" w:rsidRDefault="004F5067" w14:paraId="2BD5C7BF" w14:textId="1AB6A98C">
      <w:pPr>
        <w:pStyle w:val="Normal"/>
        <w:rPr>
          <w:rFonts w:ascii="Arial" w:hAnsi="Arial" w:cs="Arial"/>
          <w:b w:val="1"/>
          <w:bCs w:val="1"/>
          <w:sz w:val="28"/>
          <w:szCs w:val="28"/>
          <w:lang w:val="en-GB"/>
        </w:rPr>
      </w:pPr>
      <w:r w:rsidRPr="0E448908" w:rsidR="004F5067">
        <w:rPr>
          <w:rFonts w:ascii="Arial" w:hAnsi="Arial" w:cs="Arial"/>
          <w:b w:val="1"/>
          <w:bCs w:val="1"/>
          <w:sz w:val="28"/>
          <w:szCs w:val="28"/>
          <w:lang w:val="en-GB"/>
        </w:rPr>
        <w:t>Description of the activity:</w:t>
      </w:r>
    </w:p>
    <w:p w:rsidR="004F5067" w:rsidP="009C623E" w:rsidRDefault="004F5067" w14:paraId="0EA92D37" w14:textId="0C983073">
      <w:pPr>
        <w:spacing w:after="0" w:line="240" w:lineRule="auto"/>
        <w:jc w:val="both"/>
        <w:rPr>
          <w:rFonts w:ascii="Arial" w:hAnsi="Arial" w:eastAsia="Times New Roman" w:cs="Arial"/>
          <w:color w:val="000000"/>
          <w:lang w:val="en-US" w:eastAsia="de-DE"/>
        </w:rPr>
      </w:pPr>
      <w:r w:rsidRPr="004F5067">
        <w:rPr>
          <w:rFonts w:ascii="Arial" w:hAnsi="Arial" w:eastAsia="Times New Roman" w:cs="Arial"/>
          <w:color w:val="000000" w:themeColor="text1"/>
          <w:lang w:val="en-US" w:eastAsia="de-DE"/>
        </w:rPr>
        <w:t>Using input from A3.1.1, PTB, in collaboration with NPL, TFS, GERG, DTU, and VTT, will identify the performance characteristics (e.g. limit of detection, response time, limit of quantification, repeatability, reproducibility, linearity, quality control, cross interference , selectivity, matrix effects, uncertainty)</w:t>
      </w:r>
      <w:r w:rsidRPr="004F5067">
        <w:rPr>
          <w:rFonts w:ascii="Arial" w:hAnsi="Arial" w:eastAsia="Times New Roman" w:cs="Arial"/>
          <w:color w:val="FF0000"/>
          <w:lang w:val="en-US" w:eastAsia="de-DE"/>
        </w:rPr>
        <w:t xml:space="preserve"> </w:t>
      </w:r>
      <w:r w:rsidRPr="004F5067">
        <w:rPr>
          <w:rFonts w:ascii="Arial" w:hAnsi="Arial" w:eastAsia="Times New Roman" w:cs="Arial"/>
          <w:color w:val="000000" w:themeColor="text1"/>
          <w:lang w:val="en-US" w:eastAsia="de-DE"/>
        </w:rPr>
        <w:t xml:space="preserve">of the selected industrial gas </w:t>
      </w:r>
      <w:proofErr w:type="spellStart"/>
      <w:r w:rsidRPr="004F5067">
        <w:rPr>
          <w:rFonts w:ascii="Arial" w:hAnsi="Arial" w:eastAsia="Times New Roman" w:cs="Arial"/>
          <w:color w:val="000000" w:themeColor="text1"/>
          <w:lang w:val="en-US" w:eastAsia="de-DE"/>
        </w:rPr>
        <w:t>analysers</w:t>
      </w:r>
      <w:proofErr w:type="spellEnd"/>
      <w:r w:rsidRPr="004F5067">
        <w:rPr>
          <w:rFonts w:ascii="Arial" w:hAnsi="Arial" w:eastAsia="Times New Roman" w:cs="Arial"/>
          <w:color w:val="000000" w:themeColor="text1"/>
          <w:lang w:val="en-US" w:eastAsia="de-DE"/>
        </w:rPr>
        <w:t xml:space="preserve"> that need to be assessed during the evaluation of the industrial gas </w:t>
      </w:r>
      <w:proofErr w:type="spellStart"/>
      <w:r w:rsidRPr="004F5067">
        <w:rPr>
          <w:rFonts w:ascii="Arial" w:hAnsi="Arial" w:eastAsia="Times New Roman" w:cs="Arial"/>
          <w:color w:val="000000" w:themeColor="text1"/>
          <w:lang w:val="en-US" w:eastAsia="de-DE"/>
        </w:rPr>
        <w:t>analyser</w:t>
      </w:r>
      <w:proofErr w:type="spellEnd"/>
      <w:r w:rsidRPr="004F5067">
        <w:rPr>
          <w:rFonts w:ascii="Arial" w:hAnsi="Arial" w:eastAsia="Times New Roman" w:cs="Arial"/>
          <w:color w:val="000000" w:themeColor="text1"/>
          <w:lang w:val="en-US" w:eastAsia="de-DE"/>
        </w:rPr>
        <w:t xml:space="preserve"> and reference instrumentations for biomethane conformity assessment. The output of this activity will be used in A2.1.4 to further inform the development of the protocol, should any additional considerations be found based on the instrument identification.</w:t>
      </w:r>
    </w:p>
    <w:p w:rsidRPr="009C623E" w:rsidR="009C623E" w:rsidP="009C623E" w:rsidRDefault="009C623E" w14:paraId="755572AC" w14:textId="77777777">
      <w:pPr>
        <w:spacing w:after="0" w:line="240" w:lineRule="auto"/>
        <w:jc w:val="both"/>
        <w:rPr>
          <w:rFonts w:ascii="Arial" w:hAnsi="Arial" w:eastAsia="Times New Roman" w:cs="Arial"/>
          <w:color w:val="000000"/>
          <w:lang w:val="en-US" w:eastAsia="de-DE"/>
        </w:rPr>
      </w:pPr>
    </w:p>
    <w:p w:rsidRPr="009C623E" w:rsidR="004F5067" w:rsidP="009C623E" w:rsidRDefault="004F5067" w14:paraId="07F7EE6A" w14:textId="342820BF">
      <w:pPr>
        <w:pStyle w:val="ListParagraph"/>
        <w:numPr>
          <w:ilvl w:val="0"/>
          <w:numId w:val="1"/>
        </w:numPr>
        <w:ind w:left="270" w:hanging="270"/>
        <w:rPr>
          <w:rFonts w:ascii="Arial" w:hAnsi="Arial" w:cs="Arial"/>
          <w:b/>
          <w:bCs/>
          <w:lang w:val="en-US"/>
        </w:rPr>
      </w:pPr>
      <w:r w:rsidRPr="009C623E">
        <w:rPr>
          <w:rFonts w:ascii="Arial" w:hAnsi="Arial" w:cs="Arial"/>
          <w:b/>
          <w:bCs/>
          <w:lang w:val="en-US"/>
        </w:rPr>
        <w:t>Basic Instrument specifications</w:t>
      </w:r>
    </w:p>
    <w:p w:rsidR="009C623E" w:rsidP="009C623E" w:rsidRDefault="009C623E" w14:paraId="4C30214D" w14:textId="77777777">
      <w:pPr>
        <w:pStyle w:val="ListParagraph"/>
        <w:ind w:left="360"/>
        <w:rPr>
          <w:rFonts w:ascii="Arial" w:hAnsi="Arial" w:cs="Arial"/>
          <w:lang w:val="en-US"/>
        </w:rPr>
      </w:pPr>
    </w:p>
    <w:p w:rsidRPr="009C623E" w:rsidR="009C623E" w:rsidP="009C623E" w:rsidRDefault="009C623E" w14:paraId="0451C3EC" w14:textId="251147B2">
      <w:pPr>
        <w:pStyle w:val="ListParagraph"/>
        <w:ind w:left="360" w:hanging="270"/>
        <w:rPr>
          <w:rFonts w:ascii="Arial" w:hAnsi="Arial" w:cs="Arial"/>
          <w:lang w:val="en-GB"/>
        </w:rPr>
      </w:pPr>
      <w:r w:rsidRPr="009C623E">
        <w:rPr>
          <w:rFonts w:ascii="Arial" w:hAnsi="Arial" w:cs="Arial"/>
          <w:lang w:val="en-GB"/>
        </w:rPr>
        <w:t>In A3.1.1</w:t>
      </w:r>
      <w:r w:rsidR="004628EE">
        <w:rPr>
          <w:rFonts w:ascii="Arial" w:hAnsi="Arial" w:cs="Arial"/>
          <w:lang w:val="en-GB"/>
        </w:rPr>
        <w:t>, the</w:t>
      </w:r>
      <w:r w:rsidRPr="009C623E">
        <w:rPr>
          <w:rFonts w:ascii="Arial" w:hAnsi="Arial" w:cs="Arial"/>
          <w:lang w:val="en-GB"/>
        </w:rPr>
        <w:t xml:space="preserve"> follow</w:t>
      </w:r>
      <w:r w:rsidR="004628EE">
        <w:rPr>
          <w:rFonts w:ascii="Arial" w:hAnsi="Arial" w:cs="Arial"/>
          <w:lang w:val="en-GB"/>
        </w:rPr>
        <w:t>ing</w:t>
      </w:r>
      <w:r w:rsidRPr="009C623E">
        <w:rPr>
          <w:rFonts w:ascii="Arial" w:hAnsi="Arial" w:cs="Arial"/>
          <w:lang w:val="en-GB"/>
        </w:rPr>
        <w:t xml:space="preserve"> measurement techniques</w:t>
      </w:r>
      <w:r w:rsidR="004628EE">
        <w:rPr>
          <w:rFonts w:ascii="Arial" w:hAnsi="Arial" w:cs="Arial"/>
          <w:lang w:val="en-GB"/>
        </w:rPr>
        <w:t>/</w:t>
      </w:r>
      <w:r w:rsidRPr="009C623E">
        <w:rPr>
          <w:rFonts w:ascii="Arial" w:hAnsi="Arial" w:cs="Arial"/>
          <w:lang w:val="en-GB"/>
        </w:rPr>
        <w:t>analysers have been selected:</w:t>
      </w:r>
    </w:p>
    <w:p w:rsidR="009C623E" w:rsidP="009C623E" w:rsidRDefault="009C623E" w14:paraId="5C37DF2D" w14:textId="77777777">
      <w:pPr>
        <w:pStyle w:val="ListParagraph"/>
        <w:ind w:left="360" w:hanging="270"/>
        <w:rPr>
          <w:rFonts w:ascii="Arial" w:hAnsi="Arial" w:cs="Arial"/>
          <w:lang w:val="en-GB"/>
        </w:rPr>
      </w:pPr>
    </w:p>
    <w:p w:rsidRPr="009C623E" w:rsidR="009C623E" w:rsidP="009C623E" w:rsidRDefault="009C623E" w14:paraId="4FD5E36A" w14:textId="4C510BA0">
      <w:pPr>
        <w:pStyle w:val="ListParagraph"/>
        <w:ind w:left="360" w:hanging="270"/>
        <w:rPr>
          <w:rFonts w:ascii="Arial" w:hAnsi="Arial" w:cs="Arial"/>
          <w:lang w:val="en-GB"/>
        </w:rPr>
      </w:pPr>
      <w:r w:rsidRPr="009C623E">
        <w:rPr>
          <w:rFonts w:ascii="Arial" w:hAnsi="Arial" w:cs="Arial"/>
          <w:lang w:val="en-GB"/>
        </w:rPr>
        <w:t>For on-site measurements:</w:t>
      </w:r>
    </w:p>
    <w:p w:rsidRPr="009C623E" w:rsidR="009C623E" w:rsidP="009C623E" w:rsidRDefault="009C623E" w14:paraId="5B823991" w14:textId="6487F7FC">
      <w:pPr>
        <w:pStyle w:val="ListParagraph"/>
        <w:numPr>
          <w:ilvl w:val="0"/>
          <w:numId w:val="2"/>
        </w:numPr>
        <w:rPr>
          <w:rFonts w:ascii="Arial" w:hAnsi="Arial" w:cs="Arial"/>
          <w:lang w:val="en-GB"/>
        </w:rPr>
      </w:pPr>
      <w:proofErr w:type="spellStart"/>
      <w:r w:rsidRPr="009C623E">
        <w:rPr>
          <w:rFonts w:ascii="Arial" w:hAnsi="Arial" w:cs="Arial"/>
          <w:lang w:val="en-GB"/>
        </w:rPr>
        <w:t>MAXiR</w:t>
      </w:r>
      <w:proofErr w:type="spellEnd"/>
      <w:r w:rsidRPr="009C623E">
        <w:rPr>
          <w:rFonts w:ascii="Arial" w:hAnsi="Arial" w:cs="Arial"/>
          <w:lang w:val="en-GB"/>
        </w:rPr>
        <w:t xml:space="preserve"> (FTIR analyser, multiple component)</w:t>
      </w:r>
    </w:p>
    <w:p w:rsidRPr="009C623E" w:rsidR="009C623E" w:rsidP="009C623E" w:rsidRDefault="009C623E" w14:paraId="2DE74445" w14:textId="0F985546">
      <w:pPr>
        <w:pStyle w:val="ListParagraph"/>
        <w:numPr>
          <w:ilvl w:val="0"/>
          <w:numId w:val="2"/>
        </w:numPr>
        <w:rPr>
          <w:rFonts w:ascii="Arial" w:hAnsi="Arial" w:cs="Arial"/>
          <w:lang w:val="en-GB"/>
        </w:rPr>
      </w:pPr>
      <w:r w:rsidRPr="0E448908" w:rsidR="009C623E">
        <w:rPr>
          <w:rFonts w:ascii="Arial" w:hAnsi="Arial" w:cs="Arial"/>
          <w:lang w:val="en-GB"/>
        </w:rPr>
        <w:t xml:space="preserve">Agilent 990 Micro GC (with </w:t>
      </w:r>
      <w:r w:rsidRPr="0E448908" w:rsidR="00C76DD7">
        <w:rPr>
          <w:rFonts w:ascii="Arial" w:hAnsi="Arial" w:cs="Arial"/>
          <w:lang w:val="en-GB"/>
        </w:rPr>
        <w:t>µ</w:t>
      </w:r>
      <w:r w:rsidRPr="0E448908" w:rsidR="009C623E">
        <w:rPr>
          <w:rFonts w:ascii="Arial" w:hAnsi="Arial" w:cs="Arial"/>
          <w:lang w:val="en-GB"/>
        </w:rPr>
        <w:t>TCD detector, multiple component)</w:t>
      </w:r>
    </w:p>
    <w:p w:rsidRPr="009C623E" w:rsidR="004628EE" w:rsidP="004628EE" w:rsidRDefault="004628EE" w14:paraId="0E24C939" w14:textId="77777777">
      <w:pPr>
        <w:pStyle w:val="ListParagraph"/>
        <w:numPr>
          <w:ilvl w:val="0"/>
          <w:numId w:val="2"/>
        </w:numPr>
        <w:rPr>
          <w:rFonts w:ascii="Arial" w:hAnsi="Arial" w:cs="Arial"/>
          <w:lang w:val="en-GB"/>
        </w:rPr>
      </w:pPr>
      <w:r w:rsidRPr="0E448908" w:rsidR="004628EE">
        <w:rPr>
          <w:rFonts w:ascii="Arial" w:hAnsi="Arial" w:cs="Arial"/>
          <w:lang w:val="en-GB"/>
        </w:rPr>
        <w:t xml:space="preserve">OFCEAS (laser-based, single component) </w:t>
      </w:r>
    </w:p>
    <w:p w:rsidRPr="009C623E" w:rsidR="009C623E" w:rsidP="009C623E" w:rsidRDefault="009C623E" w14:paraId="47403C85" w14:textId="77777777">
      <w:pPr>
        <w:pStyle w:val="ListParagraph"/>
        <w:ind w:left="810"/>
        <w:rPr>
          <w:rFonts w:ascii="Arial" w:hAnsi="Arial" w:cs="Arial"/>
          <w:lang w:val="en-GB"/>
        </w:rPr>
      </w:pPr>
    </w:p>
    <w:p w:rsidRPr="009C623E" w:rsidR="009C623E" w:rsidP="009C623E" w:rsidRDefault="009C623E" w14:paraId="67EEC52A" w14:textId="77777777">
      <w:pPr>
        <w:pStyle w:val="ListParagraph"/>
        <w:ind w:left="360" w:hanging="270"/>
        <w:rPr>
          <w:rFonts w:ascii="Arial" w:hAnsi="Arial" w:cs="Arial"/>
          <w:lang w:val="en-GB"/>
        </w:rPr>
      </w:pPr>
      <w:r w:rsidRPr="009C623E">
        <w:rPr>
          <w:rFonts w:ascii="Arial" w:hAnsi="Arial" w:cs="Arial"/>
          <w:lang w:val="en-GB"/>
        </w:rPr>
        <w:t>For laboratory measurement:</w:t>
      </w:r>
    </w:p>
    <w:p w:rsidRPr="009C623E" w:rsidR="009C623E" w:rsidP="009C623E" w:rsidRDefault="009C623E" w14:paraId="4E0EDCFC" w14:textId="69FA951A">
      <w:pPr>
        <w:pStyle w:val="ListParagraph"/>
        <w:numPr>
          <w:ilvl w:val="0"/>
          <w:numId w:val="3"/>
        </w:numPr>
        <w:rPr>
          <w:rFonts w:ascii="Arial" w:hAnsi="Arial" w:cs="Arial"/>
          <w:lang w:val="en-GB"/>
        </w:rPr>
      </w:pPr>
      <w:r w:rsidRPr="009C623E">
        <w:rPr>
          <w:rFonts w:ascii="Arial" w:hAnsi="Arial" w:cs="Arial"/>
          <w:lang w:val="en-GB"/>
        </w:rPr>
        <w:t xml:space="preserve">OFCEAS (laser-based, single component) </w:t>
      </w:r>
    </w:p>
    <w:p w:rsidRPr="009C623E" w:rsidR="009C623E" w:rsidP="009C623E" w:rsidRDefault="009C623E" w14:paraId="2B408BA3" w14:textId="49F44F54">
      <w:pPr>
        <w:pStyle w:val="ListParagraph"/>
        <w:numPr>
          <w:ilvl w:val="0"/>
          <w:numId w:val="3"/>
        </w:numPr>
        <w:rPr>
          <w:rFonts w:ascii="Arial" w:hAnsi="Arial" w:cs="Arial"/>
          <w:lang w:val="en-GB"/>
        </w:rPr>
      </w:pPr>
      <w:r w:rsidRPr="009C623E">
        <w:rPr>
          <w:rFonts w:ascii="Arial" w:hAnsi="Arial" w:cs="Arial"/>
          <w:lang w:val="en-GB"/>
        </w:rPr>
        <w:t xml:space="preserve">Agilent GC-FID (classical bench-top GC system, multiple component) </w:t>
      </w:r>
    </w:p>
    <w:p w:rsidR="009C623E" w:rsidP="009C623E" w:rsidRDefault="009C623E" w14:paraId="458897BD" w14:textId="77777777">
      <w:pPr>
        <w:pStyle w:val="ListParagraph"/>
        <w:ind w:left="360" w:hanging="270"/>
        <w:rPr>
          <w:rFonts w:ascii="Arial" w:hAnsi="Arial" w:cs="Arial"/>
          <w:lang w:val="en-GB"/>
        </w:rPr>
      </w:pPr>
    </w:p>
    <w:p w:rsidRPr="00AC19CB" w:rsidR="00AC19CB" w:rsidP="00AC19CB" w:rsidRDefault="009C623E" w14:paraId="45851F31" w14:textId="4E696523">
      <w:pPr>
        <w:pStyle w:val="ListParagraph"/>
        <w:tabs>
          <w:tab w:val="left" w:pos="90"/>
        </w:tabs>
        <w:ind w:left="90"/>
        <w:rPr>
          <w:rFonts w:ascii="Arial" w:hAnsi="Arial" w:cs="Arial"/>
          <w:lang w:val="en-GB"/>
        </w:rPr>
      </w:pPr>
      <w:r w:rsidRPr="009C623E">
        <w:rPr>
          <w:rFonts w:ascii="Arial" w:hAnsi="Arial" w:cs="Arial"/>
          <w:lang w:val="en-GB"/>
        </w:rPr>
        <w:t>In the Table 1 below</w:t>
      </w:r>
      <w:r w:rsidR="005A7E83">
        <w:rPr>
          <w:rFonts w:ascii="Arial" w:hAnsi="Arial" w:cs="Arial"/>
          <w:lang w:val="en-GB"/>
        </w:rPr>
        <w:t>,</w:t>
      </w:r>
      <w:r w:rsidRPr="009C623E">
        <w:rPr>
          <w:rFonts w:ascii="Arial" w:hAnsi="Arial" w:cs="Arial"/>
          <w:lang w:val="en-GB"/>
        </w:rPr>
        <w:t xml:space="preserve"> a summary of the selected gas analysers is given. It should be noted that the Table reflects instrument supplier’s data sheets.</w:t>
      </w:r>
    </w:p>
    <w:p w:rsidRPr="00224A02" w:rsidR="009C623E" w:rsidP="00AC19CB" w:rsidRDefault="00AC19CB" w14:paraId="7611C84E" w14:textId="4B9E1EFE">
      <w:pPr>
        <w:jc w:val="center"/>
        <w:rPr>
          <w:rFonts w:ascii="Arial" w:hAnsi="Arial" w:cs="Arial"/>
          <w:b/>
          <w:bCs/>
          <w:lang w:val="en-GB"/>
        </w:rPr>
      </w:pPr>
      <w:r w:rsidRPr="00224A02">
        <w:rPr>
          <w:rFonts w:ascii="Arial" w:hAnsi="Arial" w:cs="Arial"/>
          <w:b/>
          <w:bCs/>
          <w:lang w:val="en-GB"/>
        </w:rPr>
        <w:t>Table 1</w:t>
      </w:r>
    </w:p>
    <w:tbl>
      <w:tblPr>
        <w:tblStyle w:val="TableGrid"/>
        <w:tblW w:w="0" w:type="auto"/>
        <w:tblLook w:val="04A0" w:firstRow="1" w:lastRow="0" w:firstColumn="1" w:lastColumn="0" w:noHBand="0" w:noVBand="1"/>
      </w:tblPr>
      <w:tblGrid>
        <w:gridCol w:w="1128"/>
        <w:gridCol w:w="1608"/>
        <w:gridCol w:w="1943"/>
        <w:gridCol w:w="999"/>
        <w:gridCol w:w="1627"/>
        <w:gridCol w:w="1757"/>
      </w:tblGrid>
      <w:tr w:rsidRPr="009C623E" w:rsidR="00C2312C" w:rsidTr="0E448908" w14:paraId="040251AC" w14:textId="77777777">
        <w:tc>
          <w:tcPr>
            <w:tcW w:w="1128" w:type="dxa"/>
            <w:tcMar/>
          </w:tcPr>
          <w:p w:rsidRPr="009C623E" w:rsidR="00C2312C" w:rsidP="00963CB1" w:rsidRDefault="00C2312C" w14:paraId="6EC1C088" w14:textId="4CBA60E1">
            <w:pPr>
              <w:jc w:val="center"/>
              <w:rPr>
                <w:rFonts w:ascii="Arial" w:hAnsi="Arial" w:cs="Arial"/>
                <w:b/>
                <w:bCs/>
                <w:lang w:val="en-GB"/>
              </w:rPr>
            </w:pPr>
            <w:r>
              <w:rPr>
                <w:rFonts w:ascii="Arial" w:hAnsi="Arial" w:cs="Arial"/>
                <w:b/>
                <w:bCs/>
                <w:lang w:val="en-GB"/>
              </w:rPr>
              <w:t>Partner</w:t>
            </w:r>
          </w:p>
        </w:tc>
        <w:tc>
          <w:tcPr>
            <w:tcW w:w="1608" w:type="dxa"/>
            <w:tcMar/>
          </w:tcPr>
          <w:p w:rsidRPr="009C623E" w:rsidR="00C2312C" w:rsidP="00963CB1" w:rsidRDefault="00813A1F" w14:paraId="35745530" w14:textId="6AC4387B">
            <w:pPr>
              <w:jc w:val="center"/>
              <w:rPr>
                <w:rFonts w:ascii="Arial" w:hAnsi="Arial" w:cs="Arial"/>
                <w:b/>
                <w:bCs/>
                <w:lang w:val="en-GB"/>
              </w:rPr>
            </w:pPr>
            <w:r>
              <w:rPr>
                <w:rFonts w:ascii="Arial" w:hAnsi="Arial" w:cs="Arial"/>
                <w:b/>
                <w:bCs/>
                <w:lang w:val="en-GB"/>
              </w:rPr>
              <w:t>Selected Analyser</w:t>
            </w:r>
          </w:p>
        </w:tc>
        <w:tc>
          <w:tcPr>
            <w:tcW w:w="1943" w:type="dxa"/>
            <w:tcMar/>
          </w:tcPr>
          <w:p w:rsidRPr="009C623E" w:rsidR="00C2312C" w:rsidP="00963CB1" w:rsidRDefault="00C2312C" w14:paraId="4AF4EF6C" w14:textId="77777777">
            <w:pPr>
              <w:jc w:val="center"/>
              <w:rPr>
                <w:rFonts w:ascii="Arial" w:hAnsi="Arial" w:cs="Arial"/>
                <w:b/>
                <w:bCs/>
                <w:lang w:val="en-GB"/>
              </w:rPr>
            </w:pPr>
            <w:r w:rsidRPr="009C623E">
              <w:rPr>
                <w:rFonts w:ascii="Arial" w:hAnsi="Arial" w:cs="Arial"/>
                <w:b/>
                <w:bCs/>
                <w:lang w:val="en-GB"/>
              </w:rPr>
              <w:t>Analyte(s)</w:t>
            </w:r>
          </w:p>
        </w:tc>
        <w:tc>
          <w:tcPr>
            <w:tcW w:w="999" w:type="dxa"/>
            <w:tcMar/>
          </w:tcPr>
          <w:p w:rsidRPr="009C623E" w:rsidR="00C2312C" w:rsidP="00963CB1" w:rsidRDefault="00C2312C" w14:paraId="3191EC09" w14:textId="77777777">
            <w:pPr>
              <w:jc w:val="center"/>
              <w:rPr>
                <w:rFonts w:ascii="Arial" w:hAnsi="Arial" w:cs="Arial"/>
                <w:b/>
                <w:bCs/>
                <w:lang w:val="en-GB"/>
              </w:rPr>
            </w:pPr>
            <w:r w:rsidRPr="009C623E">
              <w:rPr>
                <w:rFonts w:ascii="Arial" w:hAnsi="Arial" w:cs="Arial"/>
                <w:b/>
                <w:bCs/>
                <w:lang w:val="en-GB"/>
              </w:rPr>
              <w:t>LOD</w:t>
            </w:r>
          </w:p>
        </w:tc>
        <w:tc>
          <w:tcPr>
            <w:tcW w:w="1627" w:type="dxa"/>
            <w:tcMar/>
          </w:tcPr>
          <w:p w:rsidRPr="009C623E" w:rsidR="00C2312C" w:rsidP="00963CB1" w:rsidRDefault="00C2312C" w14:paraId="4618DB07" w14:textId="77777777">
            <w:pPr>
              <w:jc w:val="center"/>
              <w:rPr>
                <w:rFonts w:ascii="Arial" w:hAnsi="Arial" w:cs="Arial"/>
                <w:b/>
                <w:bCs/>
                <w:lang w:val="en-GB"/>
              </w:rPr>
            </w:pPr>
            <w:r w:rsidRPr="009C623E">
              <w:rPr>
                <w:rFonts w:ascii="Arial" w:hAnsi="Arial" w:cs="Arial"/>
                <w:b/>
                <w:bCs/>
                <w:lang w:val="en-GB"/>
              </w:rPr>
              <w:t>Response time for 10%-90%</w:t>
            </w:r>
          </w:p>
        </w:tc>
        <w:tc>
          <w:tcPr>
            <w:tcW w:w="1757" w:type="dxa"/>
            <w:tcMar/>
          </w:tcPr>
          <w:p w:rsidRPr="009C623E" w:rsidR="00C2312C" w:rsidP="00963CB1" w:rsidRDefault="00C2312C" w14:paraId="42977981" w14:textId="77777777">
            <w:pPr>
              <w:jc w:val="center"/>
              <w:rPr>
                <w:rFonts w:ascii="Arial" w:hAnsi="Arial" w:cs="Arial"/>
                <w:b/>
                <w:bCs/>
                <w:lang w:val="en-GB"/>
              </w:rPr>
            </w:pPr>
            <w:r w:rsidRPr="009C623E">
              <w:rPr>
                <w:rFonts w:ascii="Arial" w:hAnsi="Arial" w:cs="Arial"/>
                <w:b/>
                <w:bCs/>
                <w:lang w:val="en-GB"/>
              </w:rPr>
              <w:t>Measurements range</w:t>
            </w:r>
          </w:p>
        </w:tc>
      </w:tr>
      <w:tr w:rsidRPr="009C623E" w:rsidR="00C2312C" w:rsidTr="0E448908" w14:paraId="73996232" w14:textId="77777777">
        <w:trPr>
          <w:trHeight w:val="492"/>
        </w:trPr>
        <w:tc>
          <w:tcPr>
            <w:tcW w:w="1128" w:type="dxa"/>
            <w:tcMar/>
          </w:tcPr>
          <w:p w:rsidRPr="009C623E" w:rsidR="00C2312C" w:rsidP="00963CB1" w:rsidRDefault="00AC19CB" w14:paraId="2B67B0F9" w14:textId="01A3385B">
            <w:pPr>
              <w:jc w:val="center"/>
              <w:rPr>
                <w:rFonts w:ascii="Arial" w:hAnsi="Arial" w:cs="Arial"/>
                <w:lang w:val="en-GB"/>
              </w:rPr>
            </w:pPr>
            <w:r>
              <w:rPr>
                <w:rFonts w:ascii="Arial" w:hAnsi="Arial" w:cs="Arial"/>
                <w:lang w:val="en-GB"/>
              </w:rPr>
              <w:t>TS</w:t>
            </w:r>
          </w:p>
        </w:tc>
        <w:tc>
          <w:tcPr>
            <w:tcW w:w="1608" w:type="dxa"/>
            <w:tcMar/>
          </w:tcPr>
          <w:p w:rsidRPr="009C623E" w:rsidR="00C2312C" w:rsidP="00963CB1" w:rsidRDefault="00C2312C" w14:paraId="6803D700" w14:textId="7B7804AE">
            <w:pPr>
              <w:jc w:val="center"/>
              <w:rPr>
                <w:rFonts w:ascii="Arial" w:hAnsi="Arial" w:cs="Arial"/>
                <w:lang w:val="en-GB"/>
              </w:rPr>
            </w:pPr>
            <w:r w:rsidRPr="009C623E">
              <w:rPr>
                <w:rFonts w:ascii="Arial" w:hAnsi="Arial" w:cs="Arial"/>
                <w:lang w:val="en-GB"/>
              </w:rPr>
              <w:t>FTIR</w:t>
            </w:r>
            <w:r>
              <w:rPr>
                <w:rFonts w:ascii="Arial" w:hAnsi="Arial" w:cs="Arial"/>
                <w:lang w:val="en-GB"/>
              </w:rPr>
              <w:t>-</w:t>
            </w:r>
          </w:p>
          <w:p w:rsidRPr="009C623E" w:rsidR="00C2312C" w:rsidP="00963CB1" w:rsidRDefault="00C2312C" w14:paraId="765BF895" w14:textId="77777777">
            <w:pPr>
              <w:jc w:val="center"/>
              <w:rPr>
                <w:rFonts w:ascii="Arial" w:hAnsi="Arial" w:cs="Arial"/>
                <w:lang w:val="en-GB"/>
              </w:rPr>
            </w:pPr>
            <w:proofErr w:type="spellStart"/>
            <w:r w:rsidRPr="009C623E">
              <w:rPr>
                <w:rFonts w:ascii="Arial" w:hAnsi="Arial" w:cs="Arial"/>
                <w:lang w:val="en-GB"/>
              </w:rPr>
              <w:t>MAXiR</w:t>
            </w:r>
            <w:proofErr w:type="spellEnd"/>
          </w:p>
        </w:tc>
        <w:tc>
          <w:tcPr>
            <w:tcW w:w="1943" w:type="dxa"/>
            <w:tcMar/>
          </w:tcPr>
          <w:p w:rsidRPr="009C623E" w:rsidR="00C2312C" w:rsidP="00963CB1" w:rsidRDefault="00C2312C" w14:paraId="415C6750" w14:textId="5D11BB42">
            <w:pPr>
              <w:jc w:val="center"/>
              <w:rPr>
                <w:rFonts w:ascii="Arial" w:hAnsi="Arial" w:cs="Arial"/>
                <w:lang w:val="en-GB"/>
              </w:rPr>
            </w:pPr>
            <w:r w:rsidRPr="0E448908" w:rsidR="78267BA4">
              <w:rPr>
                <w:rFonts w:ascii="Arial" w:hAnsi="Arial" w:cs="Arial"/>
                <w:lang w:val="en-GB"/>
              </w:rPr>
              <w:t>NH</w:t>
            </w:r>
            <w:r w:rsidRPr="0E448908" w:rsidR="78267BA4">
              <w:rPr>
                <w:rFonts w:ascii="Arial" w:hAnsi="Arial" w:cs="Arial"/>
                <w:vertAlign w:val="subscript"/>
                <w:lang w:val="en-GB"/>
              </w:rPr>
              <w:t>3</w:t>
            </w:r>
            <w:r w:rsidRPr="0E448908" w:rsidR="78267BA4">
              <w:rPr>
                <w:rFonts w:ascii="Arial" w:hAnsi="Arial" w:cs="Arial"/>
                <w:lang w:val="en-GB"/>
              </w:rPr>
              <w:t>, CO, HF, CO</w:t>
            </w:r>
            <w:r w:rsidRPr="0E448908" w:rsidR="78267BA4">
              <w:rPr>
                <w:rFonts w:ascii="Arial" w:hAnsi="Arial" w:cs="Arial"/>
                <w:vertAlign w:val="subscript"/>
                <w:lang w:val="en-GB"/>
              </w:rPr>
              <w:t>2</w:t>
            </w:r>
            <w:r w:rsidRPr="0E448908" w:rsidR="553FBA64">
              <w:rPr>
                <w:rFonts w:ascii="Arial" w:hAnsi="Arial" w:cs="Arial"/>
                <w:vertAlign w:val="baseline"/>
                <w:lang w:val="en-GB"/>
              </w:rPr>
              <w:t xml:space="preserve">, and </w:t>
            </w:r>
            <w:r w:rsidRPr="0E448908" w:rsidR="553FBA64">
              <w:rPr>
                <w:rFonts w:ascii="Arial" w:hAnsi="Arial" w:cs="Arial"/>
                <w:vertAlign w:val="baseline"/>
                <w:lang w:val="en-GB"/>
              </w:rPr>
              <w:t xml:space="preserve">siloxanes, </w:t>
            </w:r>
            <w:r w:rsidRPr="0E448908" w:rsidR="78267BA4">
              <w:rPr>
                <w:rFonts w:ascii="Arial" w:hAnsi="Arial" w:cs="Arial"/>
                <w:lang w:val="en-GB"/>
              </w:rPr>
              <w:t>etc</w:t>
            </w:r>
            <w:r w:rsidRPr="0E448908" w:rsidR="78267BA4">
              <w:rPr>
                <w:rFonts w:ascii="Arial" w:hAnsi="Arial" w:cs="Arial"/>
                <w:lang w:val="en-GB"/>
              </w:rPr>
              <w:t>.</w:t>
            </w:r>
          </w:p>
        </w:tc>
        <w:tc>
          <w:tcPr>
            <w:tcW w:w="999" w:type="dxa"/>
            <w:tcMar/>
          </w:tcPr>
          <w:p w:rsidRPr="009C623E" w:rsidR="00C2312C" w:rsidP="00963CB1" w:rsidRDefault="00C2312C" w14:paraId="10F43338" w14:textId="77777777">
            <w:pPr>
              <w:jc w:val="center"/>
              <w:rPr>
                <w:rFonts w:ascii="Arial" w:hAnsi="Arial" w:cs="Arial"/>
                <w:lang w:val="en-GB"/>
              </w:rPr>
            </w:pPr>
          </w:p>
        </w:tc>
        <w:tc>
          <w:tcPr>
            <w:tcW w:w="1627" w:type="dxa"/>
            <w:tcMar/>
          </w:tcPr>
          <w:p w:rsidRPr="009C623E" w:rsidR="00C2312C" w:rsidP="00963CB1" w:rsidRDefault="00AC19CB" w14:paraId="035DA5F1" w14:textId="6BACE7CD">
            <w:pPr>
              <w:jc w:val="center"/>
              <w:rPr>
                <w:rFonts w:ascii="Arial" w:hAnsi="Arial" w:cs="Arial"/>
                <w:lang w:val="en-GB"/>
              </w:rPr>
            </w:pPr>
            <w:r>
              <w:rPr>
                <w:rFonts w:ascii="Arial" w:hAnsi="Arial" w:cs="Arial"/>
                <w:lang w:val="en-GB"/>
              </w:rPr>
              <w:t>--</w:t>
            </w:r>
          </w:p>
        </w:tc>
        <w:tc>
          <w:tcPr>
            <w:tcW w:w="1757" w:type="dxa"/>
            <w:tcMar/>
          </w:tcPr>
          <w:p w:rsidRPr="009C623E" w:rsidR="00C2312C" w:rsidP="00963CB1" w:rsidRDefault="00AC19CB" w14:paraId="3AB3C3AD" w14:textId="0074434F">
            <w:pPr>
              <w:jc w:val="center"/>
              <w:rPr>
                <w:rFonts w:ascii="Arial" w:hAnsi="Arial" w:cs="Arial"/>
                <w:lang w:val="en-GB"/>
              </w:rPr>
            </w:pPr>
            <w:r>
              <w:rPr>
                <w:rFonts w:ascii="Arial" w:hAnsi="Arial" w:cs="Arial"/>
                <w:lang w:val="en-GB"/>
              </w:rPr>
              <w:t>--</w:t>
            </w:r>
          </w:p>
        </w:tc>
      </w:tr>
      <w:tr w:rsidRPr="009C623E" w:rsidR="00C2312C" w:rsidTr="0E448908" w14:paraId="2CCCC263" w14:textId="77777777">
        <w:trPr>
          <w:trHeight w:val="509"/>
        </w:trPr>
        <w:tc>
          <w:tcPr>
            <w:tcW w:w="1128" w:type="dxa"/>
            <w:tcMar/>
          </w:tcPr>
          <w:p w:rsidRPr="009C623E" w:rsidR="00C2312C" w:rsidP="00963CB1" w:rsidRDefault="00AC19CB" w14:paraId="5CCA6B1A" w14:textId="6B99EA99">
            <w:pPr>
              <w:jc w:val="center"/>
              <w:rPr>
                <w:rFonts w:ascii="Arial" w:hAnsi="Arial" w:cs="Arial"/>
                <w:lang w:val="en-GB"/>
              </w:rPr>
            </w:pPr>
            <w:r w:rsidRPr="009C623E">
              <w:rPr>
                <w:rFonts w:ascii="Arial" w:hAnsi="Arial" w:cs="Arial"/>
                <w:lang w:val="en-GB"/>
              </w:rPr>
              <w:t>DTU</w:t>
            </w:r>
          </w:p>
        </w:tc>
        <w:tc>
          <w:tcPr>
            <w:tcW w:w="1608" w:type="dxa"/>
            <w:tcMar/>
          </w:tcPr>
          <w:p w:rsidRPr="009C623E" w:rsidR="00C2312C" w:rsidP="00963CB1" w:rsidRDefault="00C2312C" w14:paraId="5E590987" w14:textId="69832732">
            <w:pPr>
              <w:jc w:val="center"/>
              <w:rPr>
                <w:rFonts w:ascii="Arial" w:hAnsi="Arial" w:cs="Arial"/>
                <w:lang w:val="en-GB"/>
              </w:rPr>
            </w:pPr>
            <w:r w:rsidRPr="009C623E">
              <w:rPr>
                <w:rFonts w:ascii="Arial" w:hAnsi="Arial" w:cs="Arial"/>
                <w:lang w:val="en-GB"/>
              </w:rPr>
              <w:t xml:space="preserve">Micro GC </w:t>
            </w:r>
          </w:p>
          <w:p w:rsidRPr="009C623E" w:rsidR="00C2312C" w:rsidP="00963CB1" w:rsidRDefault="00C2312C" w14:paraId="18CF7981" w14:textId="569C2B7C">
            <w:pPr>
              <w:jc w:val="center"/>
              <w:rPr>
                <w:rFonts w:ascii="Arial" w:hAnsi="Arial" w:cs="Arial"/>
                <w:lang w:val="en-GB"/>
              </w:rPr>
            </w:pPr>
            <w:r w:rsidRPr="009C623E">
              <w:rPr>
                <w:rFonts w:ascii="Arial" w:hAnsi="Arial" w:cs="Arial"/>
                <w:lang w:val="en-GB"/>
              </w:rPr>
              <w:t>Agilent 990</w:t>
            </w:r>
          </w:p>
        </w:tc>
        <w:tc>
          <w:tcPr>
            <w:tcW w:w="1943" w:type="dxa"/>
            <w:tcMar/>
          </w:tcPr>
          <w:p w:rsidRPr="009C623E" w:rsidR="00C2312C" w:rsidP="00963CB1" w:rsidRDefault="00C2312C" w14:paraId="6A750E32" w14:textId="404E08B3">
            <w:pPr>
              <w:jc w:val="center"/>
              <w:rPr>
                <w:rFonts w:ascii="Arial" w:hAnsi="Arial" w:cs="Arial"/>
                <w:lang w:val="en-GB"/>
              </w:rPr>
            </w:pPr>
            <w:r w:rsidRPr="0E448908" w:rsidR="78267BA4">
              <w:rPr>
                <w:rFonts w:ascii="Arial" w:hAnsi="Arial" w:cs="Arial"/>
                <w:lang w:val="en-GB"/>
              </w:rPr>
              <w:t>C1-C6, CO, CO</w:t>
            </w:r>
            <w:r w:rsidRPr="0E448908" w:rsidR="78267BA4">
              <w:rPr>
                <w:rFonts w:ascii="Arial" w:hAnsi="Arial" w:cs="Arial"/>
                <w:vertAlign w:val="subscript"/>
                <w:lang w:val="en-GB"/>
              </w:rPr>
              <w:t>2</w:t>
            </w:r>
            <w:r w:rsidRPr="0E448908" w:rsidR="78267BA4">
              <w:rPr>
                <w:rFonts w:ascii="Arial" w:hAnsi="Arial" w:cs="Arial"/>
                <w:lang w:val="en-GB"/>
              </w:rPr>
              <w:t>, O</w:t>
            </w:r>
            <w:r w:rsidRPr="0E448908" w:rsidR="78267BA4">
              <w:rPr>
                <w:rFonts w:ascii="Arial" w:hAnsi="Arial" w:cs="Arial"/>
                <w:vertAlign w:val="subscript"/>
                <w:lang w:val="en-GB"/>
              </w:rPr>
              <w:t>2</w:t>
            </w:r>
            <w:r w:rsidRPr="0E448908" w:rsidR="78267BA4">
              <w:rPr>
                <w:rFonts w:ascii="Arial" w:hAnsi="Arial" w:cs="Arial"/>
                <w:lang w:val="en-GB"/>
              </w:rPr>
              <w:t>, SO</w:t>
            </w:r>
            <w:r w:rsidRPr="0E448908" w:rsidR="78267BA4">
              <w:rPr>
                <w:rFonts w:ascii="Arial" w:hAnsi="Arial" w:cs="Arial"/>
                <w:vertAlign w:val="subscript"/>
                <w:lang w:val="en-GB"/>
              </w:rPr>
              <w:t>2</w:t>
            </w:r>
            <w:r w:rsidRPr="0E448908" w:rsidR="78267BA4">
              <w:rPr>
                <w:rFonts w:ascii="Arial" w:hAnsi="Arial" w:cs="Arial"/>
                <w:lang w:val="en-GB"/>
              </w:rPr>
              <w:t xml:space="preserve"> </w:t>
            </w:r>
            <w:r w:rsidRPr="0E448908" w:rsidR="14311F24">
              <w:rPr>
                <w:rFonts w:ascii="Arial" w:hAnsi="Arial" w:cs="Arial"/>
                <w:lang w:val="en-GB"/>
              </w:rPr>
              <w:t xml:space="preserve">and </w:t>
            </w:r>
            <w:r w:rsidRPr="0E448908" w:rsidR="78267BA4">
              <w:rPr>
                <w:rFonts w:ascii="Arial" w:hAnsi="Arial" w:cs="Arial"/>
                <w:lang w:val="en-GB"/>
              </w:rPr>
              <w:t>H</w:t>
            </w:r>
            <w:r w:rsidRPr="0E448908" w:rsidR="78267BA4">
              <w:rPr>
                <w:rFonts w:ascii="Arial" w:hAnsi="Arial" w:cs="Arial"/>
                <w:vertAlign w:val="subscript"/>
                <w:lang w:val="en-GB"/>
              </w:rPr>
              <w:t>2</w:t>
            </w:r>
            <w:r w:rsidRPr="0E448908" w:rsidR="78267BA4">
              <w:rPr>
                <w:rFonts w:ascii="Arial" w:hAnsi="Arial" w:cs="Arial"/>
                <w:lang w:val="en-GB"/>
              </w:rPr>
              <w:t>S</w:t>
            </w:r>
          </w:p>
        </w:tc>
        <w:tc>
          <w:tcPr>
            <w:tcW w:w="999" w:type="dxa"/>
            <w:tcMar/>
          </w:tcPr>
          <w:p w:rsidRPr="009C623E" w:rsidR="00C2312C" w:rsidP="00963CB1" w:rsidRDefault="00C2312C" w14:paraId="27AE872E" w14:textId="0DC4136F">
            <w:pPr>
              <w:jc w:val="center"/>
              <w:rPr>
                <w:rFonts w:ascii="Arial" w:hAnsi="Arial" w:cs="Arial"/>
                <w:lang w:val="en-GB"/>
              </w:rPr>
            </w:pPr>
            <w:r w:rsidRPr="0E448908" w:rsidR="78267BA4">
              <w:rPr>
                <w:rFonts w:ascii="Arial" w:hAnsi="Arial" w:cs="Arial"/>
                <w:lang w:val="en-GB"/>
              </w:rPr>
              <w:t>0.5-2</w:t>
            </w:r>
            <w:r w:rsidRPr="0E448908" w:rsidR="497AF1E0">
              <w:rPr>
                <w:rFonts w:ascii="Arial" w:hAnsi="Arial" w:cs="Arial"/>
                <w:lang w:val="en-GB"/>
              </w:rPr>
              <w:t xml:space="preserve"> </w:t>
            </w:r>
            <w:r w:rsidRPr="0E448908" w:rsidR="78267BA4">
              <w:rPr>
                <w:rFonts w:ascii="Arial" w:hAnsi="Arial" w:cs="Arial"/>
                <w:lang w:val="en-GB"/>
              </w:rPr>
              <w:t>ppm</w:t>
            </w:r>
          </w:p>
        </w:tc>
        <w:tc>
          <w:tcPr>
            <w:tcW w:w="1627" w:type="dxa"/>
            <w:tcMar/>
          </w:tcPr>
          <w:p w:rsidRPr="009C623E" w:rsidR="00C2312C" w:rsidP="00963CB1" w:rsidRDefault="00C2312C" w14:paraId="6D84C294" w14:textId="77777777">
            <w:pPr>
              <w:jc w:val="center"/>
              <w:rPr>
                <w:rFonts w:ascii="Arial" w:hAnsi="Arial" w:cs="Arial"/>
                <w:lang w:val="en-GB"/>
              </w:rPr>
            </w:pPr>
            <w:r w:rsidRPr="009C623E">
              <w:rPr>
                <w:rFonts w:ascii="Arial" w:hAnsi="Arial" w:cs="Arial"/>
                <w:lang w:val="en-GB"/>
              </w:rPr>
              <w:t>35s</w:t>
            </w:r>
          </w:p>
        </w:tc>
        <w:tc>
          <w:tcPr>
            <w:tcW w:w="1757" w:type="dxa"/>
            <w:tcMar/>
          </w:tcPr>
          <w:p w:rsidRPr="009C623E" w:rsidR="00C2312C" w:rsidP="00963CB1" w:rsidRDefault="00C2312C" w14:paraId="1929A3ED" w14:textId="77777777">
            <w:pPr>
              <w:jc w:val="center"/>
              <w:rPr>
                <w:rFonts w:ascii="Arial" w:hAnsi="Arial" w:cs="Arial"/>
                <w:lang w:val="en-GB"/>
              </w:rPr>
            </w:pPr>
            <w:r w:rsidRPr="009C623E">
              <w:rPr>
                <w:rFonts w:ascii="Arial" w:hAnsi="Arial" w:cs="Arial"/>
                <w:lang w:val="en-GB"/>
              </w:rPr>
              <w:t>Few ppm to few %</w:t>
            </w:r>
          </w:p>
        </w:tc>
      </w:tr>
      <w:tr w:rsidRPr="009C623E" w:rsidR="00C2312C" w:rsidTr="0E448908" w14:paraId="0687F375" w14:textId="77777777">
        <w:trPr>
          <w:trHeight w:val="500"/>
        </w:trPr>
        <w:tc>
          <w:tcPr>
            <w:tcW w:w="1128" w:type="dxa"/>
            <w:tcMar/>
          </w:tcPr>
          <w:p w:rsidRPr="009C623E" w:rsidR="00C2312C" w:rsidP="00963CB1" w:rsidRDefault="00AC19CB" w14:paraId="11BB56EC" w14:textId="217D02C1">
            <w:pPr>
              <w:jc w:val="center"/>
              <w:rPr>
                <w:rFonts w:ascii="Arial" w:hAnsi="Arial" w:cs="Arial"/>
                <w:lang w:val="en-GB"/>
              </w:rPr>
            </w:pPr>
            <w:r>
              <w:rPr>
                <w:rFonts w:ascii="Arial" w:hAnsi="Arial" w:cs="Arial"/>
                <w:lang w:val="en-GB"/>
              </w:rPr>
              <w:t>PTB</w:t>
            </w:r>
          </w:p>
        </w:tc>
        <w:tc>
          <w:tcPr>
            <w:tcW w:w="1608" w:type="dxa"/>
            <w:tcMar/>
          </w:tcPr>
          <w:p w:rsidRPr="009C623E" w:rsidR="00C2312C" w:rsidP="00963CB1" w:rsidRDefault="00C2312C" w14:paraId="1C754451" w14:textId="1EEED317">
            <w:pPr>
              <w:jc w:val="center"/>
              <w:rPr>
                <w:rFonts w:ascii="Arial" w:hAnsi="Arial" w:cs="Arial"/>
                <w:lang w:val="en-GB"/>
              </w:rPr>
            </w:pPr>
            <w:r w:rsidRPr="009C623E">
              <w:rPr>
                <w:rFonts w:ascii="Arial" w:hAnsi="Arial" w:cs="Arial"/>
                <w:lang w:val="en-GB"/>
              </w:rPr>
              <w:t xml:space="preserve">OFCEAS </w:t>
            </w:r>
          </w:p>
        </w:tc>
        <w:tc>
          <w:tcPr>
            <w:tcW w:w="1943" w:type="dxa"/>
            <w:tcMar/>
          </w:tcPr>
          <w:p w:rsidRPr="009C623E" w:rsidR="00C2312C" w:rsidP="00963CB1" w:rsidRDefault="00C2312C" w14:paraId="59CAA101" w14:textId="77777777">
            <w:pPr>
              <w:jc w:val="center"/>
              <w:rPr>
                <w:rFonts w:ascii="Arial" w:hAnsi="Arial" w:cs="Arial"/>
                <w:lang w:val="en-GB"/>
              </w:rPr>
            </w:pPr>
            <w:r w:rsidRPr="009C623E">
              <w:rPr>
                <w:rFonts w:ascii="Arial" w:hAnsi="Arial" w:cs="Arial"/>
                <w:lang w:val="en-GB"/>
              </w:rPr>
              <w:t>NH</w:t>
            </w:r>
            <w:r w:rsidRPr="009C623E">
              <w:rPr>
                <w:rFonts w:ascii="Arial" w:hAnsi="Arial" w:cs="Arial"/>
                <w:vertAlign w:val="subscript"/>
                <w:lang w:val="en-GB"/>
              </w:rPr>
              <w:t>3</w:t>
            </w:r>
          </w:p>
        </w:tc>
        <w:tc>
          <w:tcPr>
            <w:tcW w:w="999" w:type="dxa"/>
            <w:tcMar/>
          </w:tcPr>
          <w:p w:rsidRPr="009C623E" w:rsidR="00C2312C" w:rsidP="00963CB1" w:rsidRDefault="00C2312C" w14:paraId="4D8F8B70" w14:textId="77777777">
            <w:pPr>
              <w:jc w:val="center"/>
              <w:rPr>
                <w:rFonts w:ascii="Arial" w:hAnsi="Arial" w:cs="Arial"/>
                <w:lang w:val="en-GB"/>
              </w:rPr>
            </w:pPr>
            <w:r w:rsidRPr="009C623E">
              <w:rPr>
                <w:rFonts w:ascii="Arial" w:hAnsi="Arial" w:cs="Arial"/>
                <w:lang w:val="en-GB"/>
              </w:rPr>
              <w:t>0.05 ppm</w:t>
            </w:r>
          </w:p>
        </w:tc>
        <w:tc>
          <w:tcPr>
            <w:tcW w:w="1627" w:type="dxa"/>
            <w:tcMar/>
          </w:tcPr>
          <w:p w:rsidRPr="009C623E" w:rsidR="00C2312C" w:rsidP="00963CB1" w:rsidRDefault="00C2312C" w14:paraId="16E52CFE" w14:textId="77777777">
            <w:pPr>
              <w:jc w:val="center"/>
              <w:rPr>
                <w:rFonts w:ascii="Arial" w:hAnsi="Arial" w:cs="Arial"/>
                <w:lang w:val="en-GB"/>
              </w:rPr>
            </w:pPr>
            <w:r w:rsidRPr="009C623E">
              <w:rPr>
                <w:rFonts w:ascii="Arial" w:hAnsi="Arial" w:cs="Arial"/>
                <w:lang w:val="en-GB"/>
              </w:rPr>
              <w:t>&lt; 160s (typical)</w:t>
            </w:r>
          </w:p>
        </w:tc>
        <w:tc>
          <w:tcPr>
            <w:tcW w:w="1757" w:type="dxa"/>
            <w:tcMar/>
          </w:tcPr>
          <w:p w:rsidRPr="009C623E" w:rsidR="00C2312C" w:rsidP="00963CB1" w:rsidRDefault="00C2312C" w14:paraId="70FBD5ED" w14:textId="36682D24">
            <w:pPr>
              <w:ind w:left="-20" w:right="-20"/>
              <w:jc w:val="center"/>
              <w:rPr>
                <w:rFonts w:ascii="Arial" w:hAnsi="Arial" w:eastAsia="Calibri" w:cs="Arial"/>
                <w:color w:val="000000" w:themeColor="text1"/>
                <w:lang w:val="en-GB"/>
              </w:rPr>
            </w:pPr>
            <w:r w:rsidRPr="009C623E">
              <w:rPr>
                <w:rFonts w:ascii="Arial" w:hAnsi="Arial" w:eastAsia="Calibri" w:cs="Arial"/>
                <w:color w:val="000000" w:themeColor="text1"/>
                <w:lang w:val="en-GB"/>
              </w:rPr>
              <w:t>0.05 – 50 ppm</w:t>
            </w:r>
          </w:p>
          <w:p w:rsidRPr="009C623E" w:rsidR="00C2312C" w:rsidP="00963CB1" w:rsidRDefault="00C2312C" w14:paraId="084AD425" w14:textId="77777777">
            <w:pPr>
              <w:ind w:left="-20" w:right="-20"/>
              <w:jc w:val="center"/>
              <w:rPr>
                <w:rFonts w:ascii="Arial" w:hAnsi="Arial" w:eastAsia="Calibri" w:cs="Arial"/>
                <w:color w:val="000000" w:themeColor="text1"/>
                <w:lang w:val="en-GB"/>
              </w:rPr>
            </w:pPr>
          </w:p>
        </w:tc>
      </w:tr>
      <w:tr w:rsidRPr="009C623E" w:rsidR="00C2312C" w:rsidTr="0E448908" w14:paraId="5D8CDFA1" w14:textId="77777777">
        <w:tc>
          <w:tcPr>
            <w:tcW w:w="1128" w:type="dxa"/>
            <w:tcMar/>
          </w:tcPr>
          <w:p w:rsidRPr="009C623E" w:rsidR="00C2312C" w:rsidP="00963CB1" w:rsidRDefault="00AC19CB" w14:paraId="22DAADF2" w14:textId="17ECE8AA">
            <w:pPr>
              <w:jc w:val="center"/>
              <w:rPr>
                <w:rFonts w:ascii="Arial" w:hAnsi="Arial" w:cs="Arial"/>
                <w:lang w:val="en-GB"/>
              </w:rPr>
            </w:pPr>
            <w:r>
              <w:rPr>
                <w:rFonts w:ascii="Arial" w:hAnsi="Arial" w:cs="Arial"/>
                <w:lang w:val="en-GB"/>
              </w:rPr>
              <w:t>VTT</w:t>
            </w:r>
          </w:p>
        </w:tc>
        <w:tc>
          <w:tcPr>
            <w:tcW w:w="1608" w:type="dxa"/>
            <w:tcMar/>
          </w:tcPr>
          <w:p w:rsidRPr="009C623E" w:rsidR="00C2312C" w:rsidP="00963CB1" w:rsidRDefault="00C2312C" w14:paraId="73E32EBD" w14:textId="2BFED287">
            <w:pPr>
              <w:jc w:val="center"/>
              <w:rPr>
                <w:rFonts w:ascii="Arial" w:hAnsi="Arial" w:cs="Arial"/>
                <w:lang w:val="en-GB"/>
              </w:rPr>
            </w:pPr>
            <w:r w:rsidRPr="009C623E">
              <w:rPr>
                <w:rFonts w:ascii="Arial" w:hAnsi="Arial" w:cs="Arial"/>
                <w:lang w:val="en-GB"/>
              </w:rPr>
              <w:t>AP2E</w:t>
            </w:r>
            <w:r>
              <w:rPr>
                <w:rFonts w:ascii="Arial" w:hAnsi="Arial" w:cs="Arial"/>
                <w:lang w:val="en-GB"/>
              </w:rPr>
              <w:t xml:space="preserve"> </w:t>
            </w:r>
          </w:p>
        </w:tc>
        <w:tc>
          <w:tcPr>
            <w:tcW w:w="1943" w:type="dxa"/>
            <w:tcMar/>
          </w:tcPr>
          <w:p w:rsidRPr="009C623E" w:rsidR="00C2312C" w:rsidP="00963CB1" w:rsidRDefault="00C2312C" w14:paraId="6D84F2C2" w14:textId="77777777">
            <w:pPr>
              <w:jc w:val="center"/>
              <w:rPr>
                <w:rFonts w:ascii="Arial" w:hAnsi="Arial" w:cs="Arial"/>
                <w:lang w:val="en-GB"/>
              </w:rPr>
            </w:pPr>
            <w:r w:rsidRPr="009C623E">
              <w:rPr>
                <w:rFonts w:ascii="Arial" w:hAnsi="Arial" w:cs="Arial"/>
                <w:lang w:val="en-GB"/>
              </w:rPr>
              <w:t>NH3</w:t>
            </w:r>
          </w:p>
        </w:tc>
        <w:tc>
          <w:tcPr>
            <w:tcW w:w="999" w:type="dxa"/>
            <w:tcMar/>
          </w:tcPr>
          <w:p w:rsidRPr="009C623E" w:rsidR="00C2312C" w:rsidP="0E448908" w:rsidRDefault="00C2312C" w14:paraId="2061DE1C" w14:textId="382A5F41">
            <w:pPr>
              <w:jc w:val="center"/>
              <w:rPr>
                <w:rFonts w:ascii="Arial" w:hAnsi="Arial" w:cs="Arial"/>
                <w:lang w:val="en-GB"/>
              </w:rPr>
            </w:pPr>
            <w:r w:rsidRPr="0E448908" w:rsidR="4CFD8B8C">
              <w:rPr>
                <w:rFonts w:ascii="Arial" w:hAnsi="Arial" w:cs="Arial"/>
                <w:lang w:val="en-GB"/>
              </w:rPr>
              <w:t>0.05 ppm</w:t>
            </w:r>
          </w:p>
        </w:tc>
        <w:tc>
          <w:tcPr>
            <w:tcW w:w="1627" w:type="dxa"/>
            <w:tcMar/>
          </w:tcPr>
          <w:p w:rsidRPr="009C623E" w:rsidR="00C2312C" w:rsidP="0E448908" w:rsidRDefault="00C2312C" w14:paraId="6592A5B8" w14:textId="4BD5AA24">
            <w:pPr>
              <w:jc w:val="center"/>
              <w:rPr>
                <w:rFonts w:ascii="Arial" w:hAnsi="Arial" w:cs="Arial"/>
                <w:lang w:val="en-GB"/>
              </w:rPr>
            </w:pPr>
            <w:r w:rsidRPr="0E448908" w:rsidR="4CFD8B8C">
              <w:rPr>
                <w:rFonts w:ascii="Arial" w:hAnsi="Arial" w:cs="Arial"/>
                <w:lang w:val="en-GB"/>
              </w:rPr>
              <w:t>&lt;180s</w:t>
            </w:r>
          </w:p>
        </w:tc>
        <w:tc>
          <w:tcPr>
            <w:tcW w:w="1757" w:type="dxa"/>
            <w:tcMar/>
          </w:tcPr>
          <w:p w:rsidRPr="009C623E" w:rsidR="00C2312C" w:rsidP="0E448908" w:rsidRDefault="00C2312C" w14:paraId="45EC83F9" w14:textId="18BABDEF">
            <w:pPr>
              <w:jc w:val="center"/>
              <w:rPr>
                <w:rFonts w:ascii="Arial" w:hAnsi="Arial" w:cs="Arial"/>
                <w:lang w:val="en-GB"/>
              </w:rPr>
            </w:pPr>
            <w:r w:rsidRPr="0E448908" w:rsidR="4CFD8B8C">
              <w:rPr>
                <w:rFonts w:ascii="Arial" w:hAnsi="Arial" w:cs="Arial"/>
                <w:lang w:val="en-GB"/>
              </w:rPr>
              <w:t>0-100 ppm</w:t>
            </w:r>
          </w:p>
        </w:tc>
      </w:tr>
    </w:tbl>
    <w:p w:rsidR="00C2312C" w:rsidP="00C2312C" w:rsidRDefault="00C2312C" w14:paraId="3F552DB0" w14:textId="77777777">
      <w:pPr>
        <w:rPr>
          <w:rFonts w:ascii="Arial" w:hAnsi="Arial" w:cs="Arial"/>
          <w:b/>
          <w:bCs/>
          <w:lang w:val="en-US"/>
        </w:rPr>
      </w:pPr>
    </w:p>
    <w:p w:rsidR="00805680" w:rsidP="0E448908" w:rsidRDefault="00805680" w14:paraId="20A3CE2D" w14:textId="1BE4A72F">
      <w:pPr>
        <w:jc w:val="both"/>
        <w:rPr>
          <w:rFonts w:ascii="Arial" w:hAnsi="Arial" w:cs="Arial"/>
          <w:lang w:val="en-US"/>
        </w:rPr>
      </w:pPr>
      <w:r w:rsidRPr="0E448908" w:rsidR="00805680">
        <w:rPr>
          <w:rFonts w:ascii="Arial" w:hAnsi="Arial" w:cs="Arial"/>
          <w:lang w:val="en-US"/>
        </w:rPr>
        <w:t xml:space="preserve">During the injection of biomethane into the existing natural gas distribution grid, </w:t>
      </w:r>
      <w:r w:rsidRPr="0E448908" w:rsidR="004B6351">
        <w:rPr>
          <w:rFonts w:ascii="Arial" w:hAnsi="Arial" w:cs="Arial"/>
          <w:lang w:val="en-US"/>
        </w:rPr>
        <w:t xml:space="preserve">the </w:t>
      </w:r>
      <w:r w:rsidRPr="0E448908" w:rsidR="00805680">
        <w:rPr>
          <w:rFonts w:ascii="Arial" w:hAnsi="Arial" w:cs="Arial"/>
          <w:lang w:val="en-US"/>
        </w:rPr>
        <w:t>components</w:t>
      </w:r>
      <w:r w:rsidRPr="0E448908" w:rsidR="00BF7AE9">
        <w:rPr>
          <w:rFonts w:ascii="Arial" w:hAnsi="Arial" w:cs="Arial"/>
          <w:lang w:val="en-US"/>
        </w:rPr>
        <w:t xml:space="preserve"> such as </w:t>
      </w:r>
      <w:r w:rsidRPr="0E448908" w:rsidR="00805680">
        <w:rPr>
          <w:rFonts w:ascii="Arial" w:hAnsi="Arial" w:cs="Arial"/>
          <w:lang w:val="en-US"/>
        </w:rPr>
        <w:t>NH</w:t>
      </w:r>
      <w:r w:rsidRPr="0E448908" w:rsidR="00805680">
        <w:rPr>
          <w:rFonts w:ascii="Arial" w:hAnsi="Arial" w:cs="Arial"/>
          <w:vertAlign w:val="subscript"/>
          <w:lang w:val="en-US"/>
        </w:rPr>
        <w:t>3</w:t>
      </w:r>
      <w:r w:rsidRPr="0E448908" w:rsidR="004B6351">
        <w:rPr>
          <w:rFonts w:ascii="Arial" w:hAnsi="Arial" w:cs="Arial"/>
          <w:lang w:val="en-US"/>
        </w:rPr>
        <w:t xml:space="preserve"> (</w:t>
      </w:r>
      <w:r w:rsidRPr="0E448908" w:rsidR="00970AB2">
        <w:rPr>
          <w:rFonts w:ascii="Arial" w:hAnsi="Arial" w:cs="Arial"/>
          <w:lang w:val="en-GB"/>
        </w:rPr>
        <w:t>max 3 mg/Nm</w:t>
      </w:r>
      <w:r w:rsidRPr="0E448908" w:rsidR="00970AB2">
        <w:rPr>
          <w:rFonts w:ascii="Arial" w:hAnsi="Arial" w:cs="Arial"/>
          <w:vertAlign w:val="superscript"/>
          <w:lang w:val="en-GB"/>
        </w:rPr>
        <w:t>3</w:t>
      </w:r>
      <w:r w:rsidRPr="0E448908" w:rsidR="00970AB2">
        <w:rPr>
          <w:lang w:val="en-GB"/>
        </w:rPr>
        <w:t xml:space="preserve">, </w:t>
      </w:r>
      <w:r w:rsidRPr="0E448908" w:rsidR="00970AB2">
        <w:rPr>
          <w:rFonts w:ascii="Arial" w:hAnsi="Arial" w:cs="Arial"/>
          <w:lang w:val="en-GB"/>
        </w:rPr>
        <w:t>i.</w:t>
      </w:r>
      <w:r w:rsidRPr="0E448908" w:rsidR="00B771D3">
        <w:rPr>
          <w:rFonts w:ascii="Arial" w:hAnsi="Arial" w:cs="Arial"/>
          <w:lang w:val="en-GB"/>
        </w:rPr>
        <w:t>e.</w:t>
      </w:r>
      <w:r w:rsidRPr="0E448908" w:rsidR="00C17E81">
        <w:rPr>
          <w:rFonts w:ascii="Arial" w:hAnsi="Arial" w:cs="Arial"/>
          <w:lang w:val="en-US"/>
        </w:rPr>
        <w:t xml:space="preserve"> 4 mmol/mol</w:t>
      </w:r>
      <w:r w:rsidRPr="0E448908" w:rsidR="004B6351">
        <w:rPr>
          <w:rFonts w:ascii="Arial" w:hAnsi="Arial" w:cs="Arial"/>
          <w:lang w:val="en-US"/>
        </w:rPr>
        <w:t>)</w:t>
      </w:r>
      <w:r w:rsidRPr="0E448908" w:rsidR="00805680">
        <w:rPr>
          <w:rFonts w:ascii="Arial" w:hAnsi="Arial" w:cs="Arial"/>
          <w:lang w:val="en-US"/>
        </w:rPr>
        <w:t xml:space="preserve">, </w:t>
      </w:r>
      <w:r w:rsidRPr="0E448908" w:rsidR="001470E7">
        <w:rPr>
          <w:rFonts w:ascii="Arial" w:hAnsi="Arial" w:cs="Arial"/>
          <w:lang w:val="en-US"/>
        </w:rPr>
        <w:t>H</w:t>
      </w:r>
      <w:r w:rsidRPr="0E448908" w:rsidR="00805680">
        <w:rPr>
          <w:rFonts w:ascii="Arial" w:hAnsi="Arial" w:cs="Arial"/>
          <w:vertAlign w:val="subscript"/>
          <w:lang w:val="en-US"/>
        </w:rPr>
        <w:t>2</w:t>
      </w:r>
      <w:r w:rsidRPr="0E448908" w:rsidR="00805680">
        <w:rPr>
          <w:rFonts w:ascii="Arial" w:hAnsi="Arial" w:cs="Arial"/>
          <w:lang w:val="en-US"/>
        </w:rPr>
        <w:t>S</w:t>
      </w:r>
      <w:r w:rsidRPr="0E448908" w:rsidR="004B6351">
        <w:rPr>
          <w:rFonts w:ascii="Arial" w:hAnsi="Arial" w:cs="Arial"/>
          <w:lang w:val="en-US"/>
        </w:rPr>
        <w:t xml:space="preserve"> (max</w:t>
      </w:r>
      <w:r w:rsidRPr="0E448908" w:rsidR="00B771D3">
        <w:rPr>
          <w:rFonts w:ascii="Arial" w:hAnsi="Arial" w:cs="Arial"/>
          <w:lang w:val="en-US"/>
        </w:rPr>
        <w:t xml:space="preserve"> 30 mg/Nm</w:t>
      </w:r>
      <w:r w:rsidRPr="0E448908" w:rsidR="00B771D3">
        <w:rPr>
          <w:rFonts w:ascii="Arial" w:hAnsi="Arial" w:cs="Arial"/>
          <w:vertAlign w:val="superscript"/>
          <w:lang w:val="en-US"/>
        </w:rPr>
        <w:t>3</w:t>
      </w:r>
      <w:r w:rsidRPr="0E448908" w:rsidR="00B771D3">
        <w:rPr>
          <w:rFonts w:ascii="Arial" w:hAnsi="Arial" w:cs="Arial"/>
          <w:lang w:val="en-US"/>
        </w:rPr>
        <w:t xml:space="preserve"> </w:t>
      </w:r>
      <w:r w:rsidRPr="0E448908" w:rsidR="00B771D3">
        <w:rPr>
          <w:rFonts w:ascii="Arial" w:hAnsi="Arial" w:cs="Arial"/>
          <w:lang w:val="en-US"/>
        </w:rPr>
        <w:t>i.e.</w:t>
      </w:r>
      <w:r w:rsidRPr="0E448908" w:rsidR="00BF7AE9">
        <w:rPr>
          <w:rFonts w:ascii="Arial" w:hAnsi="Arial" w:cs="Arial"/>
          <w:lang w:val="en-US"/>
        </w:rPr>
        <w:t xml:space="preserve"> </w:t>
      </w:r>
      <w:r w:rsidRPr="0E448908" w:rsidR="00C17E81">
        <w:rPr>
          <w:rFonts w:ascii="Arial" w:hAnsi="Arial" w:cs="Arial"/>
          <w:lang w:val="en-US"/>
        </w:rPr>
        <w:t>21 mmol/mol</w:t>
      </w:r>
      <w:r w:rsidRPr="0E448908" w:rsidR="004B6351">
        <w:rPr>
          <w:rFonts w:ascii="Arial" w:hAnsi="Arial" w:cs="Arial"/>
          <w:lang w:val="en-US"/>
        </w:rPr>
        <w:t>)</w:t>
      </w:r>
      <w:r w:rsidRPr="0E448908" w:rsidR="00BF7AE9">
        <w:rPr>
          <w:rFonts w:ascii="Arial" w:hAnsi="Arial" w:cs="Arial"/>
          <w:lang w:val="en-US"/>
        </w:rPr>
        <w:t>, siloxanes (max 1mg/Nm</w:t>
      </w:r>
      <w:r w:rsidRPr="0E448908" w:rsidR="00BF7AE9">
        <w:rPr>
          <w:rFonts w:ascii="Arial" w:hAnsi="Arial" w:cs="Arial"/>
          <w:vertAlign w:val="superscript"/>
          <w:lang w:val="en-US"/>
        </w:rPr>
        <w:t>3</w:t>
      </w:r>
      <w:r w:rsidRPr="0E448908" w:rsidR="00BF7AE9">
        <w:rPr>
          <w:rFonts w:ascii="Arial" w:hAnsi="Arial" w:cs="Arial"/>
          <w:lang w:val="en-US"/>
        </w:rPr>
        <w:t>)</w:t>
      </w:r>
      <w:r w:rsidRPr="0E448908" w:rsidR="001470E7">
        <w:rPr>
          <w:rFonts w:ascii="Arial" w:hAnsi="Arial" w:cs="Arial"/>
          <w:lang w:val="en-US"/>
        </w:rPr>
        <w:t xml:space="preserve"> and </w:t>
      </w:r>
      <w:r w:rsidRPr="0E448908" w:rsidR="00BF7AE9">
        <w:rPr>
          <w:rFonts w:ascii="Arial" w:hAnsi="Arial" w:cs="Arial"/>
          <w:lang w:val="en-US"/>
        </w:rPr>
        <w:t xml:space="preserve">odorants for </w:t>
      </w:r>
      <w:r w:rsidRPr="0E448908" w:rsidR="00BF7AE9">
        <w:rPr>
          <w:rFonts w:ascii="Arial" w:hAnsi="Arial" w:cs="Arial"/>
          <w:lang w:val="en-US"/>
        </w:rPr>
        <w:t xml:space="preserve">e.g.  </w:t>
      </w:r>
      <w:r w:rsidRPr="0E448908" w:rsidR="00BF7AE9">
        <w:rPr>
          <w:rFonts w:ascii="Arial" w:hAnsi="Arial" w:cs="Arial"/>
          <w:lang w:val="en-US"/>
        </w:rPr>
        <w:t>THT (min</w:t>
      </w:r>
      <w:r w:rsidRPr="0E448908" w:rsidR="00B771D3">
        <w:rPr>
          <w:rFonts w:ascii="Arial" w:hAnsi="Arial" w:cs="Arial"/>
          <w:lang w:val="en-US"/>
        </w:rPr>
        <w:t xml:space="preserve"> 10 mg/Nm</w:t>
      </w:r>
      <w:r w:rsidRPr="0E448908" w:rsidR="00B771D3">
        <w:rPr>
          <w:rFonts w:ascii="Arial" w:hAnsi="Arial" w:cs="Arial"/>
          <w:vertAlign w:val="superscript"/>
          <w:lang w:val="en-US"/>
        </w:rPr>
        <w:t>3</w:t>
      </w:r>
      <w:r w:rsidRPr="0E448908" w:rsidR="00B771D3">
        <w:rPr>
          <w:rFonts w:ascii="Arial" w:hAnsi="Arial" w:cs="Arial"/>
          <w:lang w:val="en-US"/>
        </w:rPr>
        <w:t xml:space="preserve"> </w:t>
      </w:r>
      <w:r w:rsidRPr="0E448908" w:rsidR="00B771D3">
        <w:rPr>
          <w:rFonts w:ascii="Arial" w:hAnsi="Arial" w:cs="Arial"/>
          <w:lang w:val="en-US"/>
        </w:rPr>
        <w:t>i.e.</w:t>
      </w:r>
      <w:r w:rsidRPr="0E448908" w:rsidR="00BF7AE9">
        <w:rPr>
          <w:rFonts w:ascii="Arial" w:hAnsi="Arial" w:cs="Arial"/>
          <w:lang w:val="en-US"/>
        </w:rPr>
        <w:t xml:space="preserve"> </w:t>
      </w:r>
      <w:r w:rsidRPr="0E448908" w:rsidR="00C17E81">
        <w:rPr>
          <w:rFonts w:ascii="Arial" w:hAnsi="Arial" w:cs="Arial"/>
          <w:lang w:val="en-US"/>
        </w:rPr>
        <w:t>2.8 mmol/mol</w:t>
      </w:r>
      <w:r w:rsidRPr="0E448908" w:rsidR="00BF7AE9">
        <w:rPr>
          <w:rFonts w:ascii="Arial" w:hAnsi="Arial" w:cs="Arial"/>
          <w:lang w:val="en-US"/>
        </w:rPr>
        <w:t>), mercaptans (</w:t>
      </w:r>
      <w:r w:rsidRPr="0E448908" w:rsidR="00B771D3">
        <w:rPr>
          <w:rFonts w:ascii="Arial" w:hAnsi="Arial" w:cs="Arial"/>
          <w:lang w:val="en-US"/>
        </w:rPr>
        <w:t>min 4 mg/Nm</w:t>
      </w:r>
      <w:r w:rsidRPr="0E448908" w:rsidR="00B771D3">
        <w:rPr>
          <w:rFonts w:ascii="Arial" w:hAnsi="Arial" w:cs="Arial"/>
          <w:vertAlign w:val="superscript"/>
          <w:lang w:val="en-US"/>
        </w:rPr>
        <w:t>3</w:t>
      </w:r>
      <w:r w:rsidRPr="0E448908" w:rsidR="00B771D3">
        <w:rPr>
          <w:rFonts w:ascii="Arial" w:hAnsi="Arial" w:cs="Arial"/>
          <w:lang w:val="en-US"/>
        </w:rPr>
        <w:t xml:space="preserve"> </w:t>
      </w:r>
      <w:r w:rsidRPr="0E448908" w:rsidR="00B771D3">
        <w:rPr>
          <w:rFonts w:ascii="Arial" w:hAnsi="Arial" w:cs="Arial"/>
          <w:lang w:val="en-US"/>
        </w:rPr>
        <w:t>i.e.</w:t>
      </w:r>
      <w:r w:rsidRPr="0E448908" w:rsidR="00B771D3">
        <w:rPr>
          <w:rFonts w:ascii="Arial" w:hAnsi="Arial" w:cs="Arial"/>
          <w:lang w:val="en-US"/>
        </w:rPr>
        <w:t xml:space="preserve"> </w:t>
      </w:r>
      <w:r w:rsidRPr="0E448908" w:rsidR="0029297E">
        <w:rPr>
          <w:rFonts w:ascii="Arial" w:hAnsi="Arial" w:cs="Arial"/>
          <w:lang w:val="en-US"/>
        </w:rPr>
        <w:t>2 mmol/mol</w:t>
      </w:r>
      <w:r w:rsidRPr="0E448908" w:rsidR="00BF7AE9">
        <w:rPr>
          <w:rFonts w:ascii="Arial" w:hAnsi="Arial" w:cs="Arial"/>
          <w:lang w:val="en-US"/>
        </w:rPr>
        <w:t>)</w:t>
      </w:r>
      <w:r w:rsidRPr="0E448908" w:rsidR="00BF7AE9">
        <w:rPr>
          <w:rFonts w:ascii="Arial" w:hAnsi="Arial" w:cs="Arial"/>
          <w:lang w:val="en-US"/>
        </w:rPr>
        <w:t xml:space="preserve"> </w:t>
      </w:r>
      <w:r w:rsidRPr="0E448908" w:rsidR="004B5DAF">
        <w:rPr>
          <w:rFonts w:ascii="Arial" w:hAnsi="Arial" w:cs="Arial"/>
          <w:lang w:val="en-US"/>
        </w:rPr>
        <w:t>at the consumer point need</w:t>
      </w:r>
      <w:r w:rsidRPr="0E448908" w:rsidR="00BF7AE9">
        <w:rPr>
          <w:rFonts w:ascii="Arial" w:hAnsi="Arial" w:cs="Arial"/>
          <w:lang w:val="en-US"/>
        </w:rPr>
        <w:t xml:space="preserve"> to </w:t>
      </w:r>
      <w:r w:rsidRPr="0E448908" w:rsidR="004B5DAF">
        <w:rPr>
          <w:rFonts w:ascii="Arial" w:hAnsi="Arial" w:cs="Arial"/>
          <w:lang w:val="en-US"/>
        </w:rPr>
        <w:t xml:space="preserve">be </w:t>
      </w:r>
      <w:r w:rsidRPr="0E448908" w:rsidR="00BF7AE9">
        <w:rPr>
          <w:rFonts w:ascii="Arial" w:hAnsi="Arial" w:cs="Arial"/>
          <w:lang w:val="en-US"/>
        </w:rPr>
        <w:t>measured.</w:t>
      </w:r>
      <w:r w:rsidRPr="0E448908" w:rsidR="004B5DAF">
        <w:rPr>
          <w:rFonts w:ascii="Arial" w:hAnsi="Arial" w:cs="Arial"/>
          <w:lang w:val="en-US"/>
        </w:rPr>
        <w:t xml:space="preserve"> Among the </w:t>
      </w:r>
      <w:r w:rsidRPr="0E448908" w:rsidR="00224A02">
        <w:rPr>
          <w:rFonts w:ascii="Arial" w:hAnsi="Arial" w:cs="Arial"/>
          <w:lang w:val="en-US"/>
        </w:rPr>
        <w:t>above-mentioned</w:t>
      </w:r>
      <w:r w:rsidRPr="0E448908" w:rsidR="004B5DAF">
        <w:rPr>
          <w:rFonts w:ascii="Arial" w:hAnsi="Arial" w:cs="Arial"/>
          <w:lang w:val="en-US"/>
        </w:rPr>
        <w:t xml:space="preserve"> components</w:t>
      </w:r>
      <w:r w:rsidRPr="0E448908" w:rsidR="00314FFB">
        <w:rPr>
          <w:rFonts w:ascii="Arial" w:hAnsi="Arial" w:cs="Arial"/>
          <w:lang w:val="en-US"/>
        </w:rPr>
        <w:t>,</w:t>
      </w:r>
      <w:r w:rsidRPr="0E448908" w:rsidR="004B5DAF">
        <w:rPr>
          <w:rFonts w:ascii="Arial" w:hAnsi="Arial" w:cs="Arial"/>
          <w:lang w:val="en-US"/>
        </w:rPr>
        <w:t xml:space="preserve"> water dew point and H</w:t>
      </w:r>
      <w:r w:rsidRPr="0E448908" w:rsidR="004B5DAF">
        <w:rPr>
          <w:rFonts w:ascii="Arial" w:hAnsi="Arial" w:cs="Arial"/>
          <w:vertAlign w:val="subscript"/>
          <w:lang w:val="en-US"/>
        </w:rPr>
        <w:t>2</w:t>
      </w:r>
      <w:r w:rsidRPr="0E448908" w:rsidR="004B5DAF">
        <w:rPr>
          <w:rFonts w:ascii="Arial" w:hAnsi="Arial" w:cs="Arial"/>
          <w:lang w:val="en-US"/>
        </w:rPr>
        <w:t xml:space="preserve">S should </w:t>
      </w:r>
      <w:r w:rsidRPr="0E448908" w:rsidR="00314FFB">
        <w:rPr>
          <w:rFonts w:ascii="Arial" w:hAnsi="Arial" w:cs="Arial"/>
          <w:lang w:val="en-US"/>
        </w:rPr>
        <w:t xml:space="preserve">be </w:t>
      </w:r>
      <w:r w:rsidRPr="0E448908" w:rsidR="5273C538">
        <w:rPr>
          <w:rFonts w:ascii="Arial" w:hAnsi="Arial" w:cs="Arial"/>
          <w:lang w:val="en-US"/>
        </w:rPr>
        <w:t>monitored</w:t>
      </w:r>
      <w:r w:rsidRPr="0E448908" w:rsidR="00314FFB">
        <w:rPr>
          <w:rFonts w:ascii="Arial" w:hAnsi="Arial" w:cs="Arial"/>
          <w:lang w:val="en-US"/>
        </w:rPr>
        <w:t xml:space="preserve"> continuously and O</w:t>
      </w:r>
      <w:r w:rsidRPr="0E448908" w:rsidR="00314FFB">
        <w:rPr>
          <w:rFonts w:ascii="Arial" w:hAnsi="Arial" w:cs="Arial"/>
          <w:vertAlign w:val="subscript"/>
          <w:lang w:val="en-US"/>
        </w:rPr>
        <w:t>2</w:t>
      </w:r>
      <w:r w:rsidRPr="0E448908" w:rsidR="00314FFB">
        <w:rPr>
          <w:rFonts w:ascii="Arial" w:hAnsi="Arial" w:cs="Arial"/>
          <w:lang w:val="en-US"/>
        </w:rPr>
        <w:t>, CO</w:t>
      </w:r>
      <w:r w:rsidRPr="0E448908" w:rsidR="00314FFB">
        <w:rPr>
          <w:rFonts w:ascii="Arial" w:hAnsi="Arial" w:cs="Arial"/>
          <w:vertAlign w:val="subscript"/>
          <w:lang w:val="en-US"/>
        </w:rPr>
        <w:t>2</w:t>
      </w:r>
      <w:r w:rsidRPr="0E448908" w:rsidR="00314FFB">
        <w:rPr>
          <w:rFonts w:ascii="Arial" w:hAnsi="Arial" w:cs="Arial"/>
          <w:lang w:val="en-US"/>
        </w:rPr>
        <w:t>, NH</w:t>
      </w:r>
      <w:r w:rsidRPr="0E448908" w:rsidR="00314FFB">
        <w:rPr>
          <w:rFonts w:ascii="Arial" w:hAnsi="Arial" w:cs="Arial"/>
          <w:vertAlign w:val="subscript"/>
          <w:lang w:val="en-US"/>
        </w:rPr>
        <w:t>3</w:t>
      </w:r>
      <w:r w:rsidRPr="0E448908" w:rsidR="00314FFB">
        <w:rPr>
          <w:rFonts w:ascii="Arial" w:hAnsi="Arial" w:cs="Arial"/>
          <w:lang w:val="en-US"/>
        </w:rPr>
        <w:t xml:space="preserve"> and siloxanes should be </w:t>
      </w:r>
      <w:r w:rsidRPr="0E448908" w:rsidR="00314FFB">
        <w:rPr>
          <w:rFonts w:ascii="Arial" w:hAnsi="Arial" w:cs="Arial"/>
          <w:lang w:val="en-US"/>
        </w:rPr>
        <w:t>monitor</w:t>
      </w:r>
      <w:r w:rsidRPr="0E448908" w:rsidR="00314FFB">
        <w:rPr>
          <w:rFonts w:ascii="Arial" w:hAnsi="Arial" w:cs="Arial"/>
          <w:lang w:val="en-US"/>
        </w:rPr>
        <w:t xml:space="preserve"> periodically as per requirement of</w:t>
      </w:r>
      <w:r w:rsidRPr="0E448908" w:rsidR="00813A1F">
        <w:rPr>
          <w:rFonts w:ascii="Arial" w:hAnsi="Arial" w:cs="Arial"/>
          <w:lang w:val="en-US"/>
        </w:rPr>
        <w:t xml:space="preserve"> the</w:t>
      </w:r>
      <w:r w:rsidRPr="0E448908" w:rsidR="00314FFB">
        <w:rPr>
          <w:rFonts w:ascii="Arial" w:hAnsi="Arial" w:cs="Arial"/>
          <w:lang w:val="en-US"/>
        </w:rPr>
        <w:t xml:space="preserve"> </w:t>
      </w:r>
      <w:r w:rsidRPr="0E448908" w:rsidR="00813A1F">
        <w:rPr>
          <w:rFonts w:ascii="Arial" w:hAnsi="Arial" w:cs="Arial"/>
          <w:lang w:val="en-US"/>
        </w:rPr>
        <w:t>individual biogas</w:t>
      </w:r>
      <w:r w:rsidRPr="0E448908" w:rsidR="00314FFB">
        <w:rPr>
          <w:rFonts w:ascii="Arial" w:hAnsi="Arial" w:cs="Arial"/>
          <w:lang w:val="en-US"/>
        </w:rPr>
        <w:t xml:space="preserve"> plant. </w:t>
      </w:r>
      <w:r w:rsidRPr="0E448908" w:rsidR="00813A1F">
        <w:rPr>
          <w:rFonts w:ascii="Arial" w:hAnsi="Arial" w:cs="Arial"/>
          <w:lang w:val="en-US"/>
        </w:rPr>
        <w:t>S</w:t>
      </w:r>
      <w:r w:rsidRPr="0E448908" w:rsidR="00224A02">
        <w:rPr>
          <w:rFonts w:ascii="Arial" w:hAnsi="Arial" w:cs="Arial"/>
          <w:lang w:val="en-US"/>
        </w:rPr>
        <w:t xml:space="preserve">ome additional </w:t>
      </w:r>
      <w:r w:rsidRPr="0E448908" w:rsidR="00FE2813">
        <w:rPr>
          <w:rFonts w:ascii="Arial" w:hAnsi="Arial" w:cs="Arial"/>
          <w:lang w:val="en-US"/>
        </w:rPr>
        <w:t xml:space="preserve">components such as terpenes </w:t>
      </w:r>
      <w:r w:rsidRPr="0E448908" w:rsidR="00813A1F">
        <w:rPr>
          <w:rFonts w:ascii="Arial" w:hAnsi="Arial" w:cs="Arial"/>
          <w:lang w:val="en-US"/>
        </w:rPr>
        <w:t xml:space="preserve">also </w:t>
      </w:r>
      <w:r w:rsidRPr="0E448908" w:rsidR="00FE2813">
        <w:rPr>
          <w:rFonts w:ascii="Arial" w:hAnsi="Arial" w:cs="Arial"/>
          <w:lang w:val="en-US"/>
        </w:rPr>
        <w:t xml:space="preserve">need to </w:t>
      </w:r>
      <w:r w:rsidRPr="0E448908" w:rsidR="46907709">
        <w:rPr>
          <w:rFonts w:ascii="Arial" w:hAnsi="Arial" w:cs="Arial"/>
          <w:lang w:val="en-US"/>
        </w:rPr>
        <w:t>be measured</w:t>
      </w:r>
      <w:r w:rsidRPr="0E448908" w:rsidR="00FE2813">
        <w:rPr>
          <w:rFonts w:ascii="Arial" w:hAnsi="Arial" w:cs="Arial"/>
          <w:lang w:val="en-US"/>
        </w:rPr>
        <w:t xml:space="preserve"> depending on the necessity </w:t>
      </w:r>
      <w:r w:rsidRPr="0E448908" w:rsidR="00813A1F">
        <w:rPr>
          <w:rFonts w:ascii="Arial" w:hAnsi="Arial" w:cs="Arial"/>
          <w:lang w:val="en-US"/>
        </w:rPr>
        <w:t>of the local operator.</w:t>
      </w:r>
      <w:r w:rsidRPr="0E448908" w:rsidR="00813A1F">
        <w:rPr>
          <w:rFonts w:ascii="Arial" w:hAnsi="Arial" w:cs="Arial"/>
          <w:lang w:val="en-US"/>
        </w:rPr>
        <w:t xml:space="preserve"> Moreover, f</w:t>
      </w:r>
      <w:r w:rsidRPr="0E448908" w:rsidR="00813A1F">
        <w:rPr>
          <w:rFonts w:ascii="Arial" w:hAnsi="Arial" w:cs="Arial"/>
          <w:lang w:val="en-US"/>
        </w:rPr>
        <w:t xml:space="preserve">or the transmission gas grid, the biomethane </w:t>
      </w:r>
      <w:r w:rsidRPr="0E448908" w:rsidR="00813A1F">
        <w:rPr>
          <w:rFonts w:ascii="Arial" w:hAnsi="Arial" w:cs="Arial"/>
          <w:lang w:val="en-US"/>
        </w:rPr>
        <w:t>should</w:t>
      </w:r>
      <w:r w:rsidRPr="0E448908" w:rsidR="00813A1F">
        <w:rPr>
          <w:rFonts w:ascii="Arial" w:hAnsi="Arial" w:cs="Arial"/>
          <w:lang w:val="en-US"/>
        </w:rPr>
        <w:t xml:space="preserve"> follow NH</w:t>
      </w:r>
      <w:r w:rsidRPr="0E448908" w:rsidR="00813A1F">
        <w:rPr>
          <w:rFonts w:ascii="Arial" w:hAnsi="Arial" w:cs="Arial"/>
          <w:vertAlign w:val="subscript"/>
          <w:lang w:val="en-US"/>
        </w:rPr>
        <w:t>3</w:t>
      </w:r>
      <w:r w:rsidRPr="0E448908" w:rsidR="00813A1F">
        <w:rPr>
          <w:rFonts w:ascii="Arial" w:hAnsi="Arial" w:cs="Arial"/>
          <w:lang w:val="en-US"/>
        </w:rPr>
        <w:t>,</w:t>
      </w:r>
      <w:r w:rsidRPr="0E448908" w:rsidR="00813A1F">
        <w:rPr>
          <w:rFonts w:ascii="Arial" w:hAnsi="Arial" w:cs="Arial"/>
          <w:lang w:val="en-US"/>
        </w:rPr>
        <w:t xml:space="preserve"> </w:t>
      </w:r>
      <w:r w:rsidRPr="0E448908" w:rsidR="00813A1F">
        <w:rPr>
          <w:rFonts w:ascii="Arial" w:hAnsi="Arial" w:cs="Arial"/>
          <w:lang w:val="en-US"/>
        </w:rPr>
        <w:t>CO</w:t>
      </w:r>
      <w:r w:rsidRPr="0E448908" w:rsidR="00813A1F">
        <w:rPr>
          <w:rFonts w:ascii="Arial" w:hAnsi="Arial" w:cs="Arial"/>
          <w:vertAlign w:val="subscript"/>
          <w:lang w:val="en-US"/>
        </w:rPr>
        <w:t>2</w:t>
      </w:r>
      <w:r w:rsidRPr="0E448908" w:rsidR="00813A1F">
        <w:rPr>
          <w:rFonts w:ascii="Arial" w:hAnsi="Arial" w:cs="Arial"/>
          <w:lang w:val="en-US"/>
        </w:rPr>
        <w:t xml:space="preserve"> </w:t>
      </w:r>
      <w:r w:rsidRPr="0E448908" w:rsidR="00813A1F">
        <w:rPr>
          <w:rFonts w:ascii="Arial" w:hAnsi="Arial" w:cs="Arial"/>
          <w:lang w:val="en-US"/>
        </w:rPr>
        <w:t xml:space="preserve">and other </w:t>
      </w:r>
      <w:r w:rsidRPr="0E448908" w:rsidR="00813A1F">
        <w:rPr>
          <w:rFonts w:ascii="Arial" w:hAnsi="Arial" w:cs="Arial"/>
          <w:lang w:val="en-US"/>
        </w:rPr>
        <w:t>specifications given by grid operators.</w:t>
      </w:r>
      <w:r w:rsidRPr="0E448908" w:rsidR="00A2673B">
        <w:rPr>
          <w:rFonts w:ascii="Arial" w:hAnsi="Arial" w:cs="Arial"/>
          <w:lang w:val="en-US"/>
        </w:rPr>
        <w:t xml:space="preserve"> Therefore, all these issues need to </w:t>
      </w:r>
      <w:r w:rsidRPr="0E448908" w:rsidR="007D3AB1">
        <w:rPr>
          <w:rFonts w:ascii="Arial" w:hAnsi="Arial" w:cs="Arial"/>
          <w:lang w:val="en-US"/>
        </w:rPr>
        <w:t xml:space="preserve">be </w:t>
      </w:r>
      <w:r w:rsidRPr="0E448908" w:rsidR="00A2673B">
        <w:rPr>
          <w:rFonts w:ascii="Arial" w:hAnsi="Arial" w:cs="Arial"/>
          <w:lang w:val="en-US"/>
        </w:rPr>
        <w:t xml:space="preserve">taken </w:t>
      </w:r>
      <w:r w:rsidRPr="0E448908" w:rsidR="007D3AB1">
        <w:rPr>
          <w:rFonts w:ascii="Arial" w:hAnsi="Arial" w:cs="Arial"/>
          <w:lang w:val="en-US"/>
        </w:rPr>
        <w:t xml:space="preserve">into </w:t>
      </w:r>
      <w:r w:rsidRPr="0E448908" w:rsidR="1BDD30DE">
        <w:rPr>
          <w:rFonts w:ascii="Arial" w:hAnsi="Arial" w:cs="Arial"/>
          <w:lang w:val="en-US"/>
        </w:rPr>
        <w:t>account</w:t>
      </w:r>
      <w:r w:rsidRPr="0E448908" w:rsidR="00A2673B">
        <w:rPr>
          <w:rFonts w:ascii="Arial" w:hAnsi="Arial" w:cs="Arial"/>
          <w:lang w:val="en-US"/>
        </w:rPr>
        <w:t xml:space="preserve"> for characterization of the </w:t>
      </w:r>
      <w:r w:rsidRPr="0E448908" w:rsidR="007D3AB1">
        <w:rPr>
          <w:rFonts w:ascii="Arial" w:hAnsi="Arial" w:cs="Arial"/>
          <w:lang w:val="en-US"/>
        </w:rPr>
        <w:t>analyze</w:t>
      </w:r>
      <w:r w:rsidRPr="0E448908" w:rsidR="003B17D4">
        <w:rPr>
          <w:rFonts w:ascii="Arial" w:hAnsi="Arial" w:cs="Arial"/>
          <w:lang w:val="en-US"/>
        </w:rPr>
        <w:t>r.</w:t>
      </w:r>
    </w:p>
    <w:p w:rsidRPr="007D3AB1" w:rsidR="009C623E" w:rsidP="007D3AB1" w:rsidRDefault="009C623E" w14:paraId="22A15BB4" w14:textId="76B0ECF1">
      <w:pPr>
        <w:pStyle w:val="ListParagraph"/>
        <w:numPr>
          <w:ilvl w:val="0"/>
          <w:numId w:val="1"/>
        </w:numPr>
        <w:ind w:left="270" w:hanging="270"/>
        <w:jc w:val="both"/>
        <w:rPr>
          <w:rFonts w:ascii="Arial" w:hAnsi="Arial" w:cs="Arial"/>
          <w:b/>
          <w:bCs/>
          <w:lang w:val="en-US"/>
        </w:rPr>
      </w:pPr>
      <w:r w:rsidRPr="007D3AB1">
        <w:rPr>
          <w:rFonts w:ascii="Arial" w:hAnsi="Arial" w:cs="Arial"/>
          <w:b/>
          <w:bCs/>
          <w:lang w:val="en-US"/>
        </w:rPr>
        <w:t>Performance Character</w:t>
      </w:r>
      <w:r w:rsidRPr="007D3AB1" w:rsidR="00EE5344">
        <w:rPr>
          <w:rFonts w:ascii="Arial" w:hAnsi="Arial" w:cs="Arial"/>
          <w:b/>
          <w:bCs/>
          <w:lang w:val="en-US"/>
        </w:rPr>
        <w:t xml:space="preserve">istics </w:t>
      </w:r>
    </w:p>
    <w:p w:rsidR="00E868D3" w:rsidP="00EE5344" w:rsidRDefault="00EE5344" w14:paraId="603BE277" w14:textId="35AD0AF4">
      <w:pPr>
        <w:jc w:val="both"/>
        <w:rPr>
          <w:rFonts w:ascii="Arial" w:hAnsi="Arial" w:cs="Arial"/>
          <w:lang w:val="en-GB"/>
        </w:rPr>
      </w:pPr>
      <w:r w:rsidRPr="00EE5344">
        <w:rPr>
          <w:rFonts w:ascii="Arial" w:hAnsi="Arial" w:cs="Arial"/>
          <w:lang w:val="en-GB"/>
        </w:rPr>
        <w:t>The following performance parameters will be considered: Limit of detection, response time, linearity, cross interference, matrix effects, reproducibility, and uncertainty.</w:t>
      </w:r>
    </w:p>
    <w:p w:rsidR="00E868D3" w:rsidP="007D3AB1" w:rsidRDefault="00E868D3" w14:paraId="2C1F0717" w14:textId="6FF22B56">
      <w:pPr>
        <w:pStyle w:val="ListParagraph"/>
        <w:numPr>
          <w:ilvl w:val="1"/>
          <w:numId w:val="1"/>
        </w:numPr>
        <w:ind w:left="450" w:hanging="450"/>
        <w:rPr>
          <w:rFonts w:ascii="Arial" w:hAnsi="Arial" w:cs="Arial"/>
          <w:b/>
          <w:bCs/>
          <w:lang w:val="en-GB"/>
        </w:rPr>
      </w:pPr>
      <w:r w:rsidRPr="00FF02C8">
        <w:rPr>
          <w:rFonts w:ascii="Arial" w:hAnsi="Arial" w:cs="Arial"/>
          <w:b/>
          <w:bCs/>
          <w:lang w:val="en-GB"/>
        </w:rPr>
        <w:t>Limit of detection</w:t>
      </w:r>
      <w:r w:rsidR="00FF02C8">
        <w:rPr>
          <w:rFonts w:ascii="Arial" w:hAnsi="Arial" w:cs="Arial"/>
          <w:b/>
          <w:bCs/>
          <w:lang w:val="en-GB"/>
        </w:rPr>
        <w:t xml:space="preserve"> (LOD)</w:t>
      </w:r>
    </w:p>
    <w:p w:rsidRPr="00FF02C8" w:rsidR="003B17D4" w:rsidP="003B17D4" w:rsidRDefault="003B17D4" w14:paraId="01B76148" w14:textId="77777777">
      <w:pPr>
        <w:pStyle w:val="ListParagraph"/>
        <w:ind w:left="450"/>
        <w:rPr>
          <w:rFonts w:ascii="Arial" w:hAnsi="Arial" w:cs="Arial"/>
          <w:b/>
          <w:bCs/>
          <w:lang w:val="en-GB"/>
        </w:rPr>
      </w:pPr>
    </w:p>
    <w:p w:rsidR="00921847" w:rsidP="00FF02C8" w:rsidRDefault="00FF02C8" w14:paraId="12A9CE41" w14:textId="66CCD4FC">
      <w:pPr>
        <w:pStyle w:val="ListParagraph"/>
        <w:ind w:left="0"/>
        <w:jc w:val="both"/>
        <w:rPr>
          <w:rFonts w:ascii="Arial" w:hAnsi="Arial" w:cs="Arial"/>
          <w:lang w:val="en-GB"/>
        </w:rPr>
      </w:pPr>
      <w:r w:rsidRPr="00FF02C8">
        <w:rPr>
          <w:rFonts w:ascii="Arial" w:hAnsi="Arial" w:cs="Arial"/>
          <w:lang w:val="en-GB"/>
        </w:rPr>
        <w:t xml:space="preserve">The </w:t>
      </w:r>
      <w:r w:rsidR="00D07131">
        <w:rPr>
          <w:rFonts w:ascii="Arial" w:hAnsi="Arial" w:cs="Arial"/>
          <w:lang w:val="en-GB"/>
        </w:rPr>
        <w:t xml:space="preserve">minimum </w:t>
      </w:r>
      <w:r>
        <w:rPr>
          <w:rFonts w:ascii="Arial" w:hAnsi="Arial" w:cs="Arial"/>
          <w:lang w:val="en-GB"/>
        </w:rPr>
        <w:t>concentration of the analytes that can be measured with</w:t>
      </w:r>
      <w:r w:rsidR="003B17D4">
        <w:rPr>
          <w:rFonts w:ascii="Arial" w:hAnsi="Arial" w:cs="Arial"/>
          <w:lang w:val="en-GB"/>
        </w:rPr>
        <w:t xml:space="preserve"> an</w:t>
      </w:r>
      <w:r>
        <w:rPr>
          <w:rFonts w:ascii="Arial" w:hAnsi="Arial" w:cs="Arial"/>
          <w:lang w:val="en-GB"/>
        </w:rPr>
        <w:t xml:space="preserve"> </w:t>
      </w:r>
      <w:proofErr w:type="spellStart"/>
      <w:r>
        <w:rPr>
          <w:rFonts w:ascii="Arial" w:hAnsi="Arial" w:cs="Arial"/>
          <w:lang w:val="en-GB"/>
        </w:rPr>
        <w:t>analyzer</w:t>
      </w:r>
      <w:proofErr w:type="spellEnd"/>
      <w:r>
        <w:rPr>
          <w:rFonts w:ascii="Arial" w:hAnsi="Arial" w:cs="Arial"/>
          <w:lang w:val="en-GB"/>
        </w:rPr>
        <w:t xml:space="preserve"> is defined as limit of detection</w:t>
      </w:r>
      <w:r w:rsidR="00E95E70">
        <w:rPr>
          <w:rFonts w:ascii="Arial" w:hAnsi="Arial" w:cs="Arial"/>
          <w:lang w:val="en-GB"/>
        </w:rPr>
        <w:t xml:space="preserve"> [</w:t>
      </w:r>
      <w:r w:rsidRPr="00E95E70" w:rsidR="00E95E70">
        <w:rPr>
          <w:rStyle w:val="EndnoteReference"/>
          <w:rFonts w:ascii="Arial" w:hAnsi="Arial" w:cs="Arial"/>
          <w:vertAlign w:val="baseline"/>
          <w:lang w:val="en-GB"/>
        </w:rPr>
        <w:endnoteReference w:id="1"/>
      </w:r>
      <w:r w:rsidR="00E95E70">
        <w:rPr>
          <w:rFonts w:ascii="Arial" w:hAnsi="Arial" w:cs="Arial"/>
          <w:lang w:val="en-GB"/>
        </w:rPr>
        <w:t>]</w:t>
      </w:r>
      <w:r>
        <w:rPr>
          <w:rFonts w:ascii="Arial" w:hAnsi="Arial" w:cs="Arial"/>
          <w:lang w:val="en-GB"/>
        </w:rPr>
        <w:t xml:space="preserve">. </w:t>
      </w:r>
      <w:r w:rsidRPr="00FF02C8">
        <w:rPr>
          <w:rFonts w:ascii="Arial" w:hAnsi="Arial" w:cs="Arial"/>
          <w:lang w:val="en-GB"/>
        </w:rPr>
        <w:t>It must be considerably lower than the threshold concentration of the analyte(s) in biomethane. The LOD also must be verified experimentally. For instance, the</w:t>
      </w:r>
      <w:r w:rsidR="00D07131">
        <w:rPr>
          <w:rFonts w:ascii="Arial" w:hAnsi="Arial" w:cs="Arial"/>
          <w:lang w:val="en-GB"/>
        </w:rPr>
        <w:t xml:space="preserve"> manufacturer specified</w:t>
      </w:r>
      <w:r w:rsidRPr="00FF02C8">
        <w:rPr>
          <w:rFonts w:ascii="Arial" w:hAnsi="Arial" w:cs="Arial"/>
          <w:lang w:val="en-GB"/>
        </w:rPr>
        <w:t xml:space="preserve"> LOD</w:t>
      </w:r>
      <w:r w:rsidR="00D07131">
        <w:rPr>
          <w:rFonts w:ascii="Arial" w:hAnsi="Arial" w:cs="Arial"/>
          <w:lang w:val="en-GB"/>
        </w:rPr>
        <w:t xml:space="preserve"> of </w:t>
      </w:r>
      <w:r w:rsidRPr="00FF02C8" w:rsidR="00D07131">
        <w:rPr>
          <w:rFonts w:ascii="Arial" w:hAnsi="Arial" w:cs="Arial"/>
          <w:lang w:val="en-GB"/>
        </w:rPr>
        <w:t>NH</w:t>
      </w:r>
      <w:r w:rsidRPr="00FF02C8" w:rsidR="00D07131">
        <w:rPr>
          <w:rFonts w:ascii="Arial" w:hAnsi="Arial" w:cs="Arial"/>
          <w:vertAlign w:val="subscript"/>
          <w:lang w:val="en-GB"/>
        </w:rPr>
        <w:t>3</w:t>
      </w:r>
      <w:r w:rsidRPr="00FF02C8">
        <w:rPr>
          <w:rFonts w:ascii="Arial" w:hAnsi="Arial" w:cs="Arial"/>
          <w:lang w:val="en-GB"/>
        </w:rPr>
        <w:t xml:space="preserve"> is 50 ppb for the OF-CEAS spectrometer which is about 200 times lower than 10 ppm (lower range to be measured in the </w:t>
      </w:r>
      <w:proofErr w:type="spellStart"/>
      <w:r w:rsidRPr="00FF02C8">
        <w:rPr>
          <w:rFonts w:ascii="Arial" w:hAnsi="Arial" w:cs="Arial"/>
          <w:lang w:val="en-GB"/>
        </w:rPr>
        <w:t>BiometCAP</w:t>
      </w:r>
      <w:proofErr w:type="spellEnd"/>
      <w:r w:rsidRPr="00FF02C8">
        <w:rPr>
          <w:rFonts w:ascii="Arial" w:hAnsi="Arial" w:cs="Arial"/>
          <w:lang w:val="en-GB"/>
        </w:rPr>
        <w:t xml:space="preserve"> project).</w:t>
      </w:r>
    </w:p>
    <w:p w:rsidRPr="00FF02C8" w:rsidR="00FF02C8" w:rsidP="00FF02C8" w:rsidRDefault="00FF02C8" w14:paraId="7E998FE0" w14:textId="77777777">
      <w:pPr>
        <w:pStyle w:val="ListParagraph"/>
        <w:ind w:left="0"/>
        <w:jc w:val="both"/>
        <w:rPr>
          <w:rFonts w:ascii="Arial" w:hAnsi="Arial" w:cs="Arial"/>
          <w:lang w:val="en-GB"/>
        </w:rPr>
      </w:pPr>
    </w:p>
    <w:p w:rsidR="00921847" w:rsidP="007D3AB1" w:rsidRDefault="00921847" w14:paraId="3C1DC1D1" w14:textId="49DDAD33">
      <w:pPr>
        <w:pStyle w:val="ListParagraph"/>
        <w:numPr>
          <w:ilvl w:val="1"/>
          <w:numId w:val="1"/>
        </w:numPr>
        <w:ind w:left="450" w:hanging="450"/>
        <w:rPr>
          <w:rFonts w:ascii="Arial" w:hAnsi="Arial" w:cs="Arial"/>
          <w:b/>
          <w:bCs/>
          <w:lang w:val="en-GB"/>
        </w:rPr>
      </w:pPr>
      <w:r w:rsidRPr="00FF02C8">
        <w:rPr>
          <w:rFonts w:ascii="Arial" w:hAnsi="Arial" w:cs="Arial"/>
          <w:b/>
          <w:bCs/>
          <w:lang w:val="en-GB"/>
        </w:rPr>
        <w:t>Response time</w:t>
      </w:r>
    </w:p>
    <w:p w:rsidRPr="00722B5D" w:rsidR="00FF02C8" w:rsidP="00722B5D" w:rsidRDefault="00FF02C8" w14:paraId="42A23CE0" w14:textId="1E865A27">
      <w:pPr>
        <w:jc w:val="both"/>
        <w:rPr>
          <w:rFonts w:ascii="Arial" w:hAnsi="Arial" w:cs="Arial"/>
          <w:kern w:val="0"/>
          <w:sz w:val="22"/>
          <w:szCs w:val="22"/>
          <w:lang w:val="en-GB" w:eastAsia="de-DE"/>
          <w14:ligatures w14:val="none"/>
        </w:rPr>
      </w:pPr>
      <w:r w:rsidRPr="00FF02C8">
        <w:rPr>
          <w:rFonts w:ascii="Arial" w:hAnsi="Arial" w:cs="Arial"/>
          <w:lang w:val="en-GB" w:eastAsia="de-DE"/>
        </w:rPr>
        <w:t>Response time is</w:t>
      </w:r>
      <w:r>
        <w:rPr>
          <w:rFonts w:ascii="Arial" w:hAnsi="Arial" w:cs="Arial"/>
          <w:lang w:val="en-GB" w:eastAsia="de-DE"/>
        </w:rPr>
        <w:t xml:space="preserve"> an </w:t>
      </w:r>
      <w:r w:rsidRPr="00FF02C8">
        <w:rPr>
          <w:rFonts w:ascii="Arial" w:hAnsi="Arial" w:cs="Arial"/>
          <w:lang w:val="en-GB" w:eastAsia="de-DE"/>
        </w:rPr>
        <w:t>important for</w:t>
      </w:r>
      <w:r>
        <w:rPr>
          <w:rFonts w:ascii="Arial" w:hAnsi="Arial" w:cs="Arial"/>
          <w:lang w:val="en-GB" w:eastAsia="de-DE"/>
        </w:rPr>
        <w:t xml:space="preserve"> </w:t>
      </w:r>
      <w:r w:rsidRPr="00FF02C8">
        <w:rPr>
          <w:rFonts w:ascii="Arial" w:hAnsi="Arial" w:cs="Arial"/>
          <w:lang w:val="en-GB" w:eastAsia="de-DE"/>
        </w:rPr>
        <w:t>characterisation</w:t>
      </w:r>
      <w:r>
        <w:rPr>
          <w:rFonts w:ascii="Arial" w:hAnsi="Arial" w:cs="Arial"/>
          <w:lang w:val="en-GB" w:eastAsia="de-DE"/>
        </w:rPr>
        <w:t xml:space="preserve"> of an analyser</w:t>
      </w:r>
      <w:r w:rsidRPr="00FF02C8">
        <w:rPr>
          <w:rFonts w:ascii="Arial" w:hAnsi="Arial" w:cs="Arial"/>
          <w:lang w:val="en-GB" w:eastAsia="de-DE"/>
        </w:rPr>
        <w:t xml:space="preserve">. </w:t>
      </w:r>
      <w:r w:rsidR="00722B5D">
        <w:rPr>
          <w:rFonts w:ascii="Arial" w:hAnsi="Arial" w:cs="Arial"/>
          <w:lang w:val="en-GB" w:eastAsia="de-DE"/>
        </w:rPr>
        <w:t xml:space="preserve">The </w:t>
      </w:r>
      <w:r w:rsidRPr="00FF02C8">
        <w:rPr>
          <w:rFonts w:ascii="Arial" w:hAnsi="Arial" w:cs="Arial"/>
          <w:lang w:val="en-GB" w:eastAsia="de-DE"/>
        </w:rPr>
        <w:t xml:space="preserve">Instrument </w:t>
      </w:r>
      <w:r w:rsidR="00722B5D">
        <w:rPr>
          <w:rFonts w:ascii="Arial" w:hAnsi="Arial" w:cs="Arial"/>
          <w:lang w:val="en-GB" w:eastAsia="de-DE"/>
        </w:rPr>
        <w:t>manufacturers</w:t>
      </w:r>
      <w:r w:rsidRPr="00FF02C8">
        <w:rPr>
          <w:rFonts w:ascii="Arial" w:hAnsi="Arial" w:cs="Arial"/>
          <w:lang w:val="en-GB" w:eastAsia="de-DE"/>
        </w:rPr>
        <w:t xml:space="preserve"> </w:t>
      </w:r>
      <w:r w:rsidR="00722B5D">
        <w:rPr>
          <w:rFonts w:ascii="Arial" w:hAnsi="Arial" w:cs="Arial"/>
          <w:lang w:val="en-GB" w:eastAsia="de-DE"/>
        </w:rPr>
        <w:t xml:space="preserve">usually provide the </w:t>
      </w:r>
      <w:r w:rsidRPr="00FF02C8" w:rsidR="00722B5D">
        <w:rPr>
          <w:rFonts w:ascii="Arial" w:hAnsi="Arial" w:cs="Arial"/>
          <w:lang w:val="en-GB" w:eastAsia="de-DE"/>
        </w:rPr>
        <w:t>response time</w:t>
      </w:r>
      <w:r w:rsidR="00722B5D">
        <w:rPr>
          <w:rFonts w:ascii="Arial" w:hAnsi="Arial" w:cs="Arial"/>
          <w:lang w:val="en-GB" w:eastAsia="de-DE"/>
        </w:rPr>
        <w:t xml:space="preserve"> of</w:t>
      </w:r>
      <w:r w:rsidRPr="00FF02C8">
        <w:rPr>
          <w:rFonts w:ascii="Arial" w:hAnsi="Arial" w:cs="Arial"/>
          <w:lang w:val="en-GB" w:eastAsia="de-DE"/>
        </w:rPr>
        <w:t xml:space="preserve"> the analyser itself. </w:t>
      </w:r>
      <w:r w:rsidR="00970AB2">
        <w:rPr>
          <w:rFonts w:ascii="Arial" w:hAnsi="Arial" w:cs="Arial"/>
          <w:lang w:val="en-GB" w:eastAsia="de-DE"/>
        </w:rPr>
        <w:t>F</w:t>
      </w:r>
      <w:r w:rsidRPr="00FF02C8">
        <w:rPr>
          <w:rFonts w:ascii="Arial" w:hAnsi="Arial" w:cs="Arial"/>
          <w:lang w:val="en-GB" w:eastAsia="de-DE"/>
        </w:rPr>
        <w:t xml:space="preserve">or practical measurements the sampling line response </w:t>
      </w:r>
      <w:r w:rsidR="00970AB2">
        <w:rPr>
          <w:rFonts w:ascii="Arial" w:hAnsi="Arial" w:cs="Arial"/>
          <w:lang w:val="en-GB" w:eastAsia="de-DE"/>
        </w:rPr>
        <w:t xml:space="preserve">also </w:t>
      </w:r>
      <w:r w:rsidRPr="00FF02C8">
        <w:rPr>
          <w:rFonts w:ascii="Arial" w:hAnsi="Arial" w:cs="Arial"/>
          <w:lang w:val="en-GB" w:eastAsia="de-DE"/>
        </w:rPr>
        <w:t>need to be known.</w:t>
      </w:r>
      <w:r w:rsidR="00970AB2">
        <w:rPr>
          <w:rFonts w:ascii="Arial" w:hAnsi="Arial" w:cs="Arial"/>
          <w:lang w:val="en-GB" w:eastAsia="de-DE"/>
        </w:rPr>
        <w:t xml:space="preserve"> Therefore, t</w:t>
      </w:r>
      <w:r w:rsidRPr="00FF02C8" w:rsidR="00970AB2">
        <w:rPr>
          <w:rFonts w:ascii="Arial" w:hAnsi="Arial" w:cs="Arial"/>
          <w:lang w:val="en-GB" w:eastAsia="de-DE"/>
        </w:rPr>
        <w:t>he response</w:t>
      </w:r>
      <w:r w:rsidR="00970AB2">
        <w:rPr>
          <w:rFonts w:ascii="Arial" w:hAnsi="Arial" w:cs="Arial"/>
          <w:lang w:val="en-GB" w:eastAsia="de-DE"/>
        </w:rPr>
        <w:t xml:space="preserve"> time </w:t>
      </w:r>
      <w:r w:rsidR="00E21F48">
        <w:rPr>
          <w:rFonts w:ascii="Arial" w:hAnsi="Arial" w:cs="Arial"/>
          <w:lang w:val="en-GB" w:eastAsia="de-DE"/>
        </w:rPr>
        <w:t xml:space="preserve">here </w:t>
      </w:r>
      <w:r w:rsidR="00970AB2">
        <w:rPr>
          <w:rFonts w:ascii="Arial" w:hAnsi="Arial" w:cs="Arial"/>
          <w:lang w:val="en-GB" w:eastAsia="de-DE"/>
        </w:rPr>
        <w:t>would</w:t>
      </w:r>
      <w:r w:rsidRPr="00FF02C8" w:rsidR="00970AB2">
        <w:rPr>
          <w:rFonts w:ascii="Arial" w:hAnsi="Arial" w:cs="Arial"/>
          <w:lang w:val="en-GB" w:eastAsia="de-DE"/>
        </w:rPr>
        <w:t xml:space="preserve"> </w:t>
      </w:r>
      <w:r w:rsidR="00970AB2">
        <w:rPr>
          <w:rFonts w:ascii="Arial" w:hAnsi="Arial" w:cs="Arial"/>
          <w:lang w:val="en-GB" w:eastAsia="de-DE"/>
        </w:rPr>
        <w:t xml:space="preserve">typically be the </w:t>
      </w:r>
      <w:r w:rsidRPr="00FF02C8" w:rsidR="00970AB2">
        <w:rPr>
          <w:rFonts w:ascii="Arial" w:hAnsi="Arial" w:cs="Arial"/>
          <w:lang w:val="en-GB" w:eastAsia="de-DE"/>
        </w:rPr>
        <w:t xml:space="preserve">response </w:t>
      </w:r>
      <w:r w:rsidR="00E21F48">
        <w:rPr>
          <w:rFonts w:ascii="Arial" w:hAnsi="Arial" w:cs="Arial"/>
          <w:lang w:val="en-GB" w:eastAsia="de-DE"/>
        </w:rPr>
        <w:t xml:space="preserve">time </w:t>
      </w:r>
      <w:r w:rsidRPr="00FF02C8" w:rsidR="00970AB2">
        <w:rPr>
          <w:rFonts w:ascii="Arial" w:hAnsi="Arial" w:cs="Arial"/>
          <w:lang w:val="en-GB" w:eastAsia="de-DE"/>
        </w:rPr>
        <w:t xml:space="preserve">of the whole system (sampling line and analyser). </w:t>
      </w:r>
      <w:r w:rsidRPr="00722B5D" w:rsidR="00722B5D">
        <w:rPr>
          <w:rFonts w:ascii="Arial" w:hAnsi="Arial" w:cs="Arial"/>
          <w:lang w:val="en-GB" w:eastAsia="de-DE"/>
        </w:rPr>
        <w:t>The response time of the instruments</w:t>
      </w:r>
      <w:r w:rsidR="00E12C94">
        <w:rPr>
          <w:rFonts w:ascii="Arial" w:hAnsi="Arial" w:cs="Arial"/>
          <w:lang w:val="en-GB" w:eastAsia="de-DE"/>
        </w:rPr>
        <w:t xml:space="preserve"> could</w:t>
      </w:r>
      <w:r w:rsidRPr="00722B5D" w:rsidR="00722B5D">
        <w:rPr>
          <w:rFonts w:ascii="Arial" w:hAnsi="Arial" w:cs="Arial"/>
          <w:lang w:val="en-GB" w:eastAsia="de-DE"/>
        </w:rPr>
        <w:t xml:space="preserve"> be determined by instantaneously switching between a zero and a span gas. </w:t>
      </w:r>
      <w:r w:rsidRPr="00FF02C8">
        <w:rPr>
          <w:rFonts w:ascii="Arial" w:hAnsi="Arial" w:cs="Arial"/>
          <w:lang w:val="en-GB" w:eastAsia="de-DE"/>
        </w:rPr>
        <w:t xml:space="preserve"> </w:t>
      </w:r>
    </w:p>
    <w:p w:rsidR="00921847" w:rsidP="007D3AB1" w:rsidRDefault="00921847" w14:paraId="7B195AA3" w14:textId="29A3F684">
      <w:pPr>
        <w:pStyle w:val="ListParagraph"/>
        <w:numPr>
          <w:ilvl w:val="1"/>
          <w:numId w:val="1"/>
        </w:numPr>
        <w:ind w:left="450" w:hanging="450"/>
        <w:rPr>
          <w:rFonts w:ascii="Arial" w:hAnsi="Arial" w:cs="Arial"/>
          <w:b/>
          <w:bCs/>
          <w:lang w:val="en-GB"/>
        </w:rPr>
      </w:pPr>
      <w:r w:rsidRPr="00FF02C8">
        <w:rPr>
          <w:rFonts w:ascii="Arial" w:hAnsi="Arial" w:cs="Arial"/>
          <w:b/>
          <w:bCs/>
          <w:lang w:val="en-GB"/>
        </w:rPr>
        <w:t>Linearity</w:t>
      </w:r>
    </w:p>
    <w:p w:rsidRPr="001470E7" w:rsidR="00722B5D" w:rsidP="00E20251" w:rsidRDefault="00722B5D" w14:paraId="5A21F6C3" w14:textId="1407D21A">
      <w:pPr>
        <w:jc w:val="both"/>
        <w:rPr>
          <w:rFonts w:ascii="Arial" w:hAnsi="Arial" w:cs="Arial"/>
          <w:lang w:val="en-GB"/>
        </w:rPr>
      </w:pPr>
      <w:r w:rsidRPr="00722B5D">
        <w:rPr>
          <w:rFonts w:ascii="Arial" w:hAnsi="Arial" w:cs="Arial"/>
          <w:lang w:val="en-GB"/>
        </w:rPr>
        <w:t xml:space="preserve">Linearity </w:t>
      </w:r>
      <w:r w:rsidR="00E21F48">
        <w:rPr>
          <w:rFonts w:ascii="Arial" w:hAnsi="Arial" w:cs="Arial"/>
          <w:lang w:val="en-GB"/>
        </w:rPr>
        <w:t>could be</w:t>
      </w:r>
      <w:r w:rsidRPr="00722B5D">
        <w:rPr>
          <w:rFonts w:ascii="Arial" w:hAnsi="Arial" w:cs="Arial"/>
          <w:lang w:val="en-GB"/>
        </w:rPr>
        <w:t xml:space="preserve"> check</w:t>
      </w:r>
      <w:r w:rsidR="00E21F48">
        <w:rPr>
          <w:rFonts w:ascii="Arial" w:hAnsi="Arial" w:cs="Arial"/>
          <w:lang w:val="en-GB"/>
        </w:rPr>
        <w:t>ed</w:t>
      </w:r>
      <w:r w:rsidRPr="00722B5D">
        <w:rPr>
          <w:rFonts w:ascii="Arial" w:hAnsi="Arial" w:cs="Arial"/>
          <w:lang w:val="en-GB"/>
        </w:rPr>
        <w:t xml:space="preserve"> </w:t>
      </w:r>
      <w:r w:rsidR="00E21F48">
        <w:rPr>
          <w:rFonts w:ascii="Arial" w:hAnsi="Arial" w:cs="Arial"/>
          <w:lang w:val="en-GB"/>
        </w:rPr>
        <w:t>by recording the response of an analyser when interrogated with e.g. reference gas mixtures or gas standards at different amount</w:t>
      </w:r>
      <w:r w:rsidR="00766705">
        <w:rPr>
          <w:rFonts w:ascii="Arial" w:hAnsi="Arial" w:cs="Arial"/>
          <w:lang w:val="en-GB"/>
        </w:rPr>
        <w:t xml:space="preserve"> fractions</w:t>
      </w:r>
      <w:r w:rsidR="00E21F48">
        <w:rPr>
          <w:rFonts w:ascii="Arial" w:hAnsi="Arial" w:cs="Arial"/>
          <w:lang w:val="en-GB"/>
        </w:rPr>
        <w:t xml:space="preserve"> </w:t>
      </w:r>
      <w:r>
        <w:rPr>
          <w:rFonts w:ascii="Arial" w:hAnsi="Arial" w:cs="Arial"/>
          <w:lang w:val="en-GB"/>
        </w:rPr>
        <w:t>within the target measurement range of the instrument</w:t>
      </w:r>
      <w:r w:rsidRPr="00722B5D">
        <w:rPr>
          <w:rFonts w:ascii="Arial" w:hAnsi="Arial" w:cs="Arial"/>
          <w:lang w:val="en-GB"/>
        </w:rPr>
        <w:t>.</w:t>
      </w:r>
    </w:p>
    <w:p w:rsidR="00921847" w:rsidP="007D3AB1" w:rsidRDefault="00921847" w14:paraId="1423B8FE" w14:textId="21C8CCCE">
      <w:pPr>
        <w:pStyle w:val="ListParagraph"/>
        <w:numPr>
          <w:ilvl w:val="1"/>
          <w:numId w:val="1"/>
        </w:numPr>
        <w:ind w:left="450" w:hanging="450"/>
        <w:rPr>
          <w:rFonts w:ascii="Arial" w:hAnsi="Arial" w:cs="Arial"/>
          <w:b/>
          <w:bCs/>
          <w:lang w:val="en-GB"/>
        </w:rPr>
      </w:pPr>
      <w:r w:rsidRPr="00FF02C8">
        <w:rPr>
          <w:rFonts w:ascii="Arial" w:hAnsi="Arial" w:cs="Arial"/>
          <w:b/>
          <w:bCs/>
          <w:lang w:val="en-GB"/>
        </w:rPr>
        <w:t>Cross interference</w:t>
      </w:r>
    </w:p>
    <w:p w:rsidRPr="00D42C1B" w:rsidR="00D42C1B" w:rsidP="00E20251" w:rsidRDefault="00E20251" w14:paraId="0D026DF7" w14:textId="694083DB">
      <w:pPr>
        <w:jc w:val="both"/>
        <w:rPr>
          <w:rFonts w:ascii="Arial" w:hAnsi="Arial" w:cs="Arial"/>
          <w:lang w:val="en-GB"/>
        </w:rPr>
      </w:pPr>
      <w:r>
        <w:rPr>
          <w:rFonts w:ascii="Arial" w:hAnsi="Arial" w:cs="Arial"/>
          <w:lang w:val="en-GB"/>
        </w:rPr>
        <w:t>Selectivity of the instrument</w:t>
      </w:r>
      <w:r w:rsidR="00D42C1B">
        <w:rPr>
          <w:rFonts w:ascii="Arial" w:hAnsi="Arial" w:cs="Arial"/>
          <w:lang w:val="en-GB"/>
        </w:rPr>
        <w:t xml:space="preserve"> </w:t>
      </w:r>
      <w:r w:rsidRPr="00D42C1B" w:rsidR="00D42C1B">
        <w:rPr>
          <w:rFonts w:ascii="Arial" w:hAnsi="Arial" w:cs="Arial"/>
          <w:lang w:val="en-GB"/>
        </w:rPr>
        <w:t xml:space="preserve">provides </w:t>
      </w:r>
      <w:r w:rsidR="00D42C1B">
        <w:rPr>
          <w:rFonts w:ascii="Arial" w:hAnsi="Arial" w:cs="Arial"/>
          <w:lang w:val="en-GB"/>
        </w:rPr>
        <w:t xml:space="preserve">measurement of </w:t>
      </w:r>
      <w:r w:rsidRPr="00D42C1B" w:rsidR="00D42C1B">
        <w:rPr>
          <w:rFonts w:ascii="Arial" w:hAnsi="Arial" w:cs="Arial"/>
          <w:lang w:val="en-GB"/>
        </w:rPr>
        <w:t>one or</w:t>
      </w:r>
      <w:r w:rsidR="00D42C1B">
        <w:rPr>
          <w:rFonts w:ascii="Arial" w:hAnsi="Arial" w:cs="Arial"/>
          <w:lang w:val="en-GB"/>
        </w:rPr>
        <w:t xml:space="preserve"> </w:t>
      </w:r>
      <w:r w:rsidRPr="00D42C1B" w:rsidR="00D42C1B">
        <w:rPr>
          <w:rFonts w:ascii="Arial" w:hAnsi="Arial" w:cs="Arial"/>
          <w:lang w:val="en-GB"/>
        </w:rPr>
        <w:t xml:space="preserve">more </w:t>
      </w:r>
      <w:r w:rsidR="00D42C1B">
        <w:rPr>
          <w:rFonts w:ascii="Arial" w:hAnsi="Arial" w:cs="Arial"/>
          <w:lang w:val="en-GB"/>
        </w:rPr>
        <w:t xml:space="preserve">components </w:t>
      </w:r>
      <w:r w:rsidRPr="00D42C1B" w:rsidR="00D42C1B">
        <w:rPr>
          <w:rFonts w:ascii="Arial" w:hAnsi="Arial" w:cs="Arial"/>
          <w:lang w:val="en-GB"/>
        </w:rPr>
        <w:t>such that the values of each</w:t>
      </w:r>
      <w:r w:rsidR="00D42C1B">
        <w:rPr>
          <w:rFonts w:ascii="Arial" w:hAnsi="Arial" w:cs="Arial"/>
          <w:lang w:val="en-GB"/>
        </w:rPr>
        <w:t xml:space="preserve"> component </w:t>
      </w:r>
      <w:r w:rsidRPr="00D42C1B" w:rsidR="00D42C1B">
        <w:rPr>
          <w:rFonts w:ascii="Arial" w:hAnsi="Arial" w:cs="Arial"/>
          <w:lang w:val="en-GB"/>
        </w:rPr>
        <w:t>are independent of other measurands</w:t>
      </w:r>
      <w:r>
        <w:rPr>
          <w:rFonts w:ascii="Arial" w:hAnsi="Arial" w:cs="Arial"/>
          <w:lang w:val="en-GB"/>
        </w:rPr>
        <w:t xml:space="preserve"> being </w:t>
      </w:r>
      <w:r>
        <w:rPr>
          <w:rFonts w:ascii="Arial" w:hAnsi="Arial" w:cs="Arial"/>
          <w:lang w:val="en-GB"/>
        </w:rPr>
        <w:lastRenderedPageBreak/>
        <w:t xml:space="preserve">investigated. </w:t>
      </w:r>
      <w:r w:rsidRPr="00E20251">
        <w:rPr>
          <w:rFonts w:ascii="Arial" w:hAnsi="Arial" w:cs="Arial"/>
          <w:lang w:val="en-GB"/>
        </w:rPr>
        <w:t>Interferences can either be treated on a hardware (GC-analysers: e.g. heating rate change) or software levels (e.g. FTIR spectrometers: chemometrics).</w:t>
      </w:r>
      <w:r>
        <w:rPr>
          <w:rFonts w:ascii="Arial" w:hAnsi="Arial" w:cs="Arial"/>
          <w:lang w:val="en-GB"/>
        </w:rPr>
        <w:t xml:space="preserve"> For e.g. </w:t>
      </w:r>
      <w:r w:rsidRPr="00E20251">
        <w:rPr>
          <w:rFonts w:ascii="Arial" w:hAnsi="Arial" w:cs="Arial"/>
          <w:lang w:val="en-GB"/>
        </w:rPr>
        <w:t>water vapor or other trace gases might influence the measurement of the concentration of NH</w:t>
      </w:r>
      <w:r w:rsidRPr="00E20251">
        <w:rPr>
          <w:rFonts w:ascii="Arial" w:hAnsi="Arial" w:cs="Arial"/>
          <w:vertAlign w:val="subscript"/>
          <w:lang w:val="en-GB"/>
        </w:rPr>
        <w:t>3</w:t>
      </w:r>
      <w:r w:rsidRPr="00E20251">
        <w:rPr>
          <w:rFonts w:ascii="Arial" w:hAnsi="Arial" w:cs="Arial"/>
          <w:lang w:val="en-GB"/>
        </w:rPr>
        <w:t xml:space="preserve">. Options to check such effects </w:t>
      </w:r>
      <w:r w:rsidR="00E12C94">
        <w:rPr>
          <w:rFonts w:ascii="Arial" w:hAnsi="Arial" w:cs="Arial"/>
          <w:lang w:val="en-GB"/>
        </w:rPr>
        <w:t>should</w:t>
      </w:r>
      <w:r w:rsidRPr="00E20251">
        <w:rPr>
          <w:rFonts w:ascii="Arial" w:hAnsi="Arial" w:cs="Arial"/>
          <w:lang w:val="en-GB"/>
        </w:rPr>
        <w:t xml:space="preserve"> be </w:t>
      </w:r>
      <w:r w:rsidRPr="00E20251" w:rsidR="00B85936">
        <w:rPr>
          <w:rFonts w:ascii="Arial" w:hAnsi="Arial" w:cs="Arial"/>
          <w:lang w:val="en-GB"/>
        </w:rPr>
        <w:t>investigated</w:t>
      </w:r>
      <w:r>
        <w:rPr>
          <w:rFonts w:ascii="Arial" w:hAnsi="Arial" w:cs="Arial"/>
          <w:lang w:val="en-GB"/>
        </w:rPr>
        <w:t>.</w:t>
      </w:r>
    </w:p>
    <w:p w:rsidR="00921847" w:rsidP="007D3AB1" w:rsidRDefault="00921847" w14:paraId="6E7D7AF6" w14:textId="65F276BE">
      <w:pPr>
        <w:pStyle w:val="ListParagraph"/>
        <w:numPr>
          <w:ilvl w:val="1"/>
          <w:numId w:val="1"/>
        </w:numPr>
        <w:ind w:left="450" w:hanging="450"/>
        <w:rPr>
          <w:rFonts w:ascii="Arial" w:hAnsi="Arial" w:cs="Arial"/>
          <w:b/>
          <w:bCs/>
          <w:lang w:val="en-GB"/>
        </w:rPr>
      </w:pPr>
      <w:r w:rsidRPr="00FF02C8">
        <w:rPr>
          <w:rFonts w:ascii="Arial" w:hAnsi="Arial" w:cs="Arial"/>
          <w:b/>
          <w:bCs/>
          <w:lang w:val="en-GB"/>
        </w:rPr>
        <w:t>Matrix effects</w:t>
      </w:r>
    </w:p>
    <w:p w:rsidRPr="00A841C8" w:rsidR="00E20251" w:rsidP="00A841C8" w:rsidRDefault="00B771D3" w14:paraId="4C47F6D7" w14:textId="52983B0F">
      <w:pPr>
        <w:jc w:val="both"/>
        <w:rPr>
          <w:rFonts w:ascii="Arial" w:hAnsi="Arial" w:cs="Arial"/>
          <w:sz w:val="22"/>
          <w:szCs w:val="22"/>
          <w:lang w:val="en-GB" w:eastAsia="de-DE"/>
        </w:rPr>
      </w:pPr>
      <w:r>
        <w:rPr>
          <w:rFonts w:ascii="Arial" w:hAnsi="Arial" w:cs="Arial"/>
          <w:lang w:val="en-GB" w:eastAsia="de-DE"/>
        </w:rPr>
        <w:t>A</w:t>
      </w:r>
      <w:r w:rsidR="00D07131">
        <w:rPr>
          <w:rFonts w:ascii="Arial" w:hAnsi="Arial" w:cs="Arial"/>
          <w:lang w:val="en-GB" w:eastAsia="de-DE"/>
        </w:rPr>
        <w:t>lteration of matrix gas effectively changes the broadening of the probed absorption line</w:t>
      </w:r>
      <w:r w:rsidR="004F46A4">
        <w:rPr>
          <w:rFonts w:ascii="Arial" w:hAnsi="Arial" w:cs="Arial"/>
          <w:lang w:val="en-GB" w:eastAsia="de-DE"/>
        </w:rPr>
        <w:t>.</w:t>
      </w:r>
      <w:r w:rsidR="00D07131">
        <w:rPr>
          <w:rFonts w:ascii="Arial" w:hAnsi="Arial" w:cs="Arial"/>
          <w:lang w:val="en-GB" w:eastAsia="de-DE"/>
        </w:rPr>
        <w:t xml:space="preserve"> </w:t>
      </w:r>
      <w:r w:rsidR="00C85DA9">
        <w:rPr>
          <w:rFonts w:ascii="Arial" w:hAnsi="Arial" w:cs="Arial"/>
          <w:lang w:val="en-GB" w:eastAsia="de-DE"/>
        </w:rPr>
        <w:t xml:space="preserve">The broadening of the absorption line </w:t>
      </w:r>
      <w:r w:rsidR="00AB3C36">
        <w:rPr>
          <w:rFonts w:ascii="Arial" w:hAnsi="Arial" w:cs="Arial"/>
          <w:lang w:val="en-GB" w:eastAsia="de-DE"/>
        </w:rPr>
        <w:t xml:space="preserve">will be </w:t>
      </w:r>
      <w:r w:rsidR="00C85DA9">
        <w:rPr>
          <w:rFonts w:ascii="Arial" w:hAnsi="Arial" w:cs="Arial"/>
          <w:lang w:val="en-GB" w:eastAsia="de-DE"/>
        </w:rPr>
        <w:t>difference for different gas matrices e.g. N</w:t>
      </w:r>
      <w:r w:rsidRPr="00AB3C36" w:rsidR="00C85DA9">
        <w:rPr>
          <w:rFonts w:ascii="Arial" w:hAnsi="Arial" w:cs="Arial"/>
          <w:vertAlign w:val="subscript"/>
          <w:lang w:val="en-GB" w:eastAsia="de-DE"/>
        </w:rPr>
        <w:t>2</w:t>
      </w:r>
      <w:r w:rsidR="00C85DA9">
        <w:rPr>
          <w:rFonts w:ascii="Arial" w:hAnsi="Arial" w:cs="Arial"/>
          <w:lang w:val="en-GB" w:eastAsia="de-DE"/>
        </w:rPr>
        <w:t>, CH</w:t>
      </w:r>
      <w:r w:rsidRPr="00AB3C36" w:rsidR="00C85DA9">
        <w:rPr>
          <w:rFonts w:ascii="Arial" w:hAnsi="Arial" w:cs="Arial"/>
          <w:vertAlign w:val="subscript"/>
          <w:lang w:val="en-GB" w:eastAsia="de-DE"/>
        </w:rPr>
        <w:t>4</w:t>
      </w:r>
      <w:r w:rsidR="00C85DA9">
        <w:rPr>
          <w:rFonts w:ascii="Arial" w:hAnsi="Arial" w:cs="Arial"/>
          <w:lang w:val="en-GB" w:eastAsia="de-DE"/>
        </w:rPr>
        <w:t xml:space="preserve">, etc. </w:t>
      </w:r>
      <w:r w:rsidRPr="00A841C8" w:rsidR="00AB3C36">
        <w:rPr>
          <w:rFonts w:ascii="Arial" w:hAnsi="Arial" w:cs="Arial"/>
          <w:lang w:val="en-GB" w:eastAsia="de-DE"/>
        </w:rPr>
        <w:t>The</w:t>
      </w:r>
      <w:r w:rsidR="00AB3C36">
        <w:rPr>
          <w:rFonts w:ascii="Arial" w:hAnsi="Arial" w:cs="Arial"/>
          <w:lang w:val="en-GB" w:eastAsia="de-DE"/>
        </w:rPr>
        <w:t xml:space="preserve">refore, to achieve accurate concentration results, </w:t>
      </w:r>
      <w:r w:rsidRPr="00A841C8" w:rsidR="00A841C8">
        <w:rPr>
          <w:rFonts w:ascii="Arial" w:hAnsi="Arial" w:cs="Arial"/>
          <w:lang w:val="en-GB" w:eastAsia="de-DE"/>
        </w:rPr>
        <w:t>matrix effect</w:t>
      </w:r>
      <w:r w:rsidR="00AB3C36">
        <w:rPr>
          <w:rFonts w:ascii="Arial" w:hAnsi="Arial" w:cs="Arial"/>
          <w:lang w:val="en-GB" w:eastAsia="de-DE"/>
        </w:rPr>
        <w:t>s</w:t>
      </w:r>
      <w:r w:rsidRPr="00A841C8" w:rsidR="00A841C8">
        <w:rPr>
          <w:rFonts w:ascii="Arial" w:hAnsi="Arial" w:cs="Arial"/>
          <w:lang w:val="en-GB" w:eastAsia="de-DE"/>
        </w:rPr>
        <w:t xml:space="preserve"> on</w:t>
      </w:r>
      <w:r w:rsidR="00AB3C36">
        <w:rPr>
          <w:rFonts w:ascii="Arial" w:hAnsi="Arial" w:cs="Arial"/>
          <w:lang w:val="en-GB" w:eastAsia="de-DE"/>
        </w:rPr>
        <w:t xml:space="preserve"> e.g</w:t>
      </w:r>
      <w:r w:rsidR="00BF1933">
        <w:rPr>
          <w:rFonts w:ascii="Arial" w:hAnsi="Arial" w:cs="Arial"/>
          <w:lang w:val="en-GB" w:eastAsia="de-DE"/>
        </w:rPr>
        <w:t>.</w:t>
      </w:r>
      <w:r w:rsidR="00AB3C36">
        <w:rPr>
          <w:rFonts w:ascii="Arial" w:hAnsi="Arial" w:cs="Arial"/>
          <w:lang w:val="en-GB" w:eastAsia="de-DE"/>
        </w:rPr>
        <w:t xml:space="preserve"> spectroscopic</w:t>
      </w:r>
      <w:r w:rsidRPr="00A841C8" w:rsidR="00A841C8">
        <w:rPr>
          <w:rFonts w:ascii="Arial" w:hAnsi="Arial" w:cs="Arial"/>
          <w:lang w:val="en-GB" w:eastAsia="de-DE"/>
        </w:rPr>
        <w:t xml:space="preserve"> measurement </w:t>
      </w:r>
      <w:r w:rsidR="00AB3C36">
        <w:rPr>
          <w:rFonts w:ascii="Arial" w:hAnsi="Arial" w:cs="Arial"/>
          <w:lang w:val="en-GB" w:eastAsia="de-DE"/>
        </w:rPr>
        <w:t xml:space="preserve">must be corrected, when </w:t>
      </w:r>
      <w:r w:rsidRPr="00A841C8" w:rsidR="00A841C8">
        <w:rPr>
          <w:rFonts w:ascii="Arial" w:hAnsi="Arial" w:cs="Arial"/>
          <w:lang w:val="en-GB" w:eastAsia="de-DE"/>
        </w:rPr>
        <w:t>changing the matrix gas e.g. from N</w:t>
      </w:r>
      <w:r w:rsidRPr="00A841C8" w:rsidR="00A841C8">
        <w:rPr>
          <w:rFonts w:ascii="Arial" w:hAnsi="Arial" w:cs="Arial"/>
          <w:vertAlign w:val="subscript"/>
          <w:lang w:val="en-GB" w:eastAsia="de-DE"/>
        </w:rPr>
        <w:t>2</w:t>
      </w:r>
      <w:r w:rsidRPr="00A841C8" w:rsidR="00A841C8">
        <w:rPr>
          <w:rFonts w:ascii="Arial" w:hAnsi="Arial" w:cs="Arial"/>
          <w:lang w:val="en-GB" w:eastAsia="de-DE"/>
        </w:rPr>
        <w:t>/synthetic air to CH</w:t>
      </w:r>
      <w:r w:rsidRPr="00A841C8" w:rsidR="00A841C8">
        <w:rPr>
          <w:rFonts w:ascii="Arial" w:hAnsi="Arial" w:cs="Arial"/>
          <w:vertAlign w:val="subscript"/>
          <w:lang w:val="en-GB" w:eastAsia="de-DE"/>
        </w:rPr>
        <w:t>4</w:t>
      </w:r>
      <w:r w:rsidRPr="00A841C8" w:rsidR="00A841C8">
        <w:rPr>
          <w:rFonts w:ascii="Arial" w:hAnsi="Arial" w:cs="Arial"/>
          <w:lang w:val="en-GB" w:eastAsia="de-DE"/>
        </w:rPr>
        <w:t xml:space="preserve"> </w:t>
      </w:r>
    </w:p>
    <w:p w:rsidR="00A841C8" w:rsidP="00A841C8" w:rsidRDefault="00921847" w14:paraId="37F0CDC9" w14:textId="28E1096C">
      <w:pPr>
        <w:pStyle w:val="ListParagraph"/>
        <w:numPr>
          <w:ilvl w:val="1"/>
          <w:numId w:val="1"/>
        </w:numPr>
        <w:ind w:left="450" w:hanging="450"/>
        <w:rPr>
          <w:rFonts w:ascii="Arial" w:hAnsi="Arial" w:cs="Arial"/>
          <w:b/>
          <w:bCs/>
          <w:lang w:val="en-GB"/>
        </w:rPr>
      </w:pPr>
      <w:r w:rsidRPr="00FF02C8">
        <w:rPr>
          <w:rFonts w:ascii="Arial" w:hAnsi="Arial" w:cs="Arial"/>
          <w:b/>
          <w:bCs/>
          <w:lang w:val="en-GB"/>
        </w:rPr>
        <w:t xml:space="preserve">Reproducibility </w:t>
      </w:r>
    </w:p>
    <w:p w:rsidR="00A841C8" w:rsidP="004F46A4" w:rsidRDefault="00A841C8" w14:paraId="3E82CEF5" w14:textId="78578F6C">
      <w:pPr>
        <w:jc w:val="both"/>
        <w:rPr>
          <w:rFonts w:ascii="Arial" w:hAnsi="Arial" w:cs="Arial"/>
          <w:lang w:val="en-GB"/>
        </w:rPr>
      </w:pPr>
      <w:r w:rsidRPr="00A841C8">
        <w:rPr>
          <w:rFonts w:ascii="Arial" w:hAnsi="Arial" w:cs="Arial"/>
          <w:lang w:val="en-GB"/>
        </w:rPr>
        <w:t xml:space="preserve">The reproducibility </w:t>
      </w:r>
      <w:r w:rsidR="00BF1933">
        <w:rPr>
          <w:rFonts w:ascii="Arial" w:hAnsi="Arial" w:cs="Arial"/>
          <w:lang w:val="en-GB"/>
        </w:rPr>
        <w:t>could</w:t>
      </w:r>
      <w:r w:rsidRPr="00A841C8">
        <w:rPr>
          <w:rFonts w:ascii="Arial" w:hAnsi="Arial" w:cs="Arial"/>
          <w:lang w:val="en-GB"/>
        </w:rPr>
        <w:t xml:space="preserve"> be evaluated from </w:t>
      </w:r>
      <w:r w:rsidR="00B85936">
        <w:rPr>
          <w:rFonts w:ascii="Arial" w:hAnsi="Arial" w:cs="Arial"/>
          <w:lang w:val="en-GB"/>
        </w:rPr>
        <w:t xml:space="preserve">e.g. </w:t>
      </w:r>
      <w:r w:rsidRPr="00A841C8">
        <w:rPr>
          <w:rFonts w:ascii="Arial" w:hAnsi="Arial" w:cs="Arial"/>
          <w:lang w:val="en-GB"/>
        </w:rPr>
        <w:t xml:space="preserve">measurements done before and after </w:t>
      </w:r>
      <w:r w:rsidR="00B85936">
        <w:rPr>
          <w:rFonts w:ascii="Arial" w:hAnsi="Arial" w:cs="Arial"/>
          <w:lang w:val="en-GB"/>
        </w:rPr>
        <w:t>the</w:t>
      </w:r>
      <w:r w:rsidRPr="00A841C8">
        <w:rPr>
          <w:rFonts w:ascii="Arial" w:hAnsi="Arial" w:cs="Arial"/>
          <w:lang w:val="en-GB"/>
        </w:rPr>
        <w:t xml:space="preserve"> field comparison</w:t>
      </w:r>
      <w:r>
        <w:rPr>
          <w:rFonts w:ascii="Arial" w:hAnsi="Arial" w:cs="Arial"/>
          <w:lang w:val="en-GB"/>
        </w:rPr>
        <w:t>.</w:t>
      </w:r>
    </w:p>
    <w:p w:rsidRPr="00A841C8" w:rsidR="00A841C8" w:rsidP="00A841C8" w:rsidRDefault="00A841C8" w14:paraId="174690C6" w14:textId="77777777">
      <w:pPr>
        <w:pStyle w:val="ListParagraph"/>
        <w:ind w:left="0"/>
        <w:rPr>
          <w:rFonts w:ascii="Arial" w:hAnsi="Arial" w:cs="Arial"/>
          <w:lang w:val="en-GB"/>
        </w:rPr>
      </w:pPr>
    </w:p>
    <w:p w:rsidR="006D348E" w:rsidP="00A841C8" w:rsidRDefault="00B85936" w14:paraId="702C13ED" w14:textId="6BB032E4">
      <w:pPr>
        <w:pStyle w:val="ListParagraph"/>
        <w:numPr>
          <w:ilvl w:val="1"/>
          <w:numId w:val="1"/>
        </w:numPr>
        <w:ind w:left="450" w:hanging="450"/>
        <w:rPr>
          <w:rFonts w:ascii="Arial" w:hAnsi="Arial" w:cs="Arial"/>
          <w:b/>
          <w:bCs/>
          <w:lang w:val="en-GB"/>
        </w:rPr>
      </w:pPr>
      <w:r w:rsidRPr="00FF02C8">
        <w:rPr>
          <w:rFonts w:ascii="Arial" w:hAnsi="Arial" w:cs="Arial"/>
          <w:b/>
          <w:bCs/>
          <w:lang w:val="en-GB"/>
        </w:rPr>
        <w:t>Uncertainty</w:t>
      </w:r>
    </w:p>
    <w:p w:rsidR="00E868D3" w:rsidP="006D348E" w:rsidRDefault="00B85936" w14:paraId="0ABE0A59" w14:textId="25F2EBC5">
      <w:pPr>
        <w:jc w:val="both"/>
        <w:rPr>
          <w:rFonts w:ascii="Arial" w:hAnsi="Arial" w:cs="Arial"/>
          <w:lang w:val="en-GB"/>
        </w:rPr>
      </w:pPr>
      <w:r>
        <w:rPr>
          <w:rFonts w:ascii="Arial" w:hAnsi="Arial" w:cs="Arial"/>
          <w:lang w:val="en-GB"/>
        </w:rPr>
        <w:t>T</w:t>
      </w:r>
      <w:r w:rsidRPr="006D348E" w:rsidR="006D348E">
        <w:rPr>
          <w:rFonts w:ascii="Arial" w:hAnsi="Arial" w:cs="Arial"/>
          <w:lang w:val="en-GB"/>
        </w:rPr>
        <w:t xml:space="preserve">he uncertainty of the measurement </w:t>
      </w:r>
      <w:r>
        <w:rPr>
          <w:rFonts w:ascii="Arial" w:hAnsi="Arial" w:cs="Arial"/>
          <w:lang w:val="en-GB"/>
        </w:rPr>
        <w:t>must be estimated</w:t>
      </w:r>
      <w:r w:rsidR="006D348E">
        <w:rPr>
          <w:rFonts w:ascii="Arial" w:hAnsi="Arial" w:cs="Arial"/>
          <w:lang w:val="en-GB"/>
        </w:rPr>
        <w:t>. GUM princip</w:t>
      </w:r>
      <w:r>
        <w:rPr>
          <w:rFonts w:ascii="Arial" w:hAnsi="Arial" w:cs="Arial"/>
          <w:lang w:val="en-GB"/>
        </w:rPr>
        <w:t>les are recommended</w:t>
      </w:r>
      <w:r w:rsidR="006D348E">
        <w:rPr>
          <w:rFonts w:ascii="Arial" w:hAnsi="Arial" w:cs="Arial"/>
          <w:lang w:val="en-GB"/>
        </w:rPr>
        <w:t xml:space="preserve"> for evaluati</w:t>
      </w:r>
      <w:r>
        <w:rPr>
          <w:rFonts w:ascii="Arial" w:hAnsi="Arial" w:cs="Arial"/>
          <w:lang w:val="en-GB"/>
        </w:rPr>
        <w:t>ng</w:t>
      </w:r>
      <w:r w:rsidR="006D348E">
        <w:rPr>
          <w:rFonts w:ascii="Arial" w:hAnsi="Arial" w:cs="Arial"/>
          <w:lang w:val="en-GB"/>
        </w:rPr>
        <w:t xml:space="preserve"> </w:t>
      </w:r>
      <w:r>
        <w:rPr>
          <w:rFonts w:ascii="Arial" w:hAnsi="Arial" w:cs="Arial"/>
          <w:lang w:val="en-GB"/>
        </w:rPr>
        <w:t>an</w:t>
      </w:r>
      <w:r w:rsidR="006D348E">
        <w:rPr>
          <w:rFonts w:ascii="Arial" w:hAnsi="Arial" w:cs="Arial"/>
          <w:lang w:val="en-GB"/>
        </w:rPr>
        <w:t xml:space="preserve"> uncertainty budget</w:t>
      </w:r>
      <w:r>
        <w:rPr>
          <w:rFonts w:ascii="Arial" w:hAnsi="Arial" w:cs="Arial"/>
          <w:lang w:val="en-GB"/>
        </w:rPr>
        <w:t xml:space="preserve"> for Lab or field measurements</w:t>
      </w:r>
      <w:r w:rsidR="00F77149">
        <w:rPr>
          <w:rFonts w:ascii="Arial" w:hAnsi="Arial" w:cs="Arial"/>
          <w:lang w:val="en-GB"/>
        </w:rPr>
        <w:t xml:space="preserve"> [</w:t>
      </w:r>
      <w:r w:rsidRPr="00F77149" w:rsidR="00F77149">
        <w:rPr>
          <w:rStyle w:val="EndnoteReference"/>
          <w:rFonts w:ascii="Arial" w:hAnsi="Arial" w:cs="Arial"/>
          <w:vertAlign w:val="baseline"/>
          <w:lang w:val="en-GB"/>
        </w:rPr>
        <w:endnoteReference w:id="2"/>
      </w:r>
      <w:r w:rsidR="00F77149">
        <w:rPr>
          <w:rFonts w:ascii="Arial" w:hAnsi="Arial" w:cs="Arial"/>
          <w:lang w:val="en-GB"/>
        </w:rPr>
        <w:t>]</w:t>
      </w:r>
      <w:r w:rsidR="006D348E">
        <w:rPr>
          <w:rFonts w:ascii="Arial" w:hAnsi="Arial" w:cs="Arial"/>
          <w:lang w:val="en-GB"/>
        </w:rPr>
        <w:t>.</w:t>
      </w:r>
      <w:r w:rsidRPr="006D348E" w:rsidR="006D348E">
        <w:rPr>
          <w:rFonts w:ascii="Arial" w:hAnsi="Arial" w:cs="Arial"/>
          <w:lang w:val="en-GB"/>
        </w:rPr>
        <w:t xml:space="preserve"> </w:t>
      </w:r>
    </w:p>
    <w:p w:rsidR="00F77149" w:rsidP="006D348E" w:rsidRDefault="00F77149" w14:paraId="79107D87" w14:textId="77777777">
      <w:pPr>
        <w:jc w:val="both"/>
        <w:rPr>
          <w:rFonts w:ascii="Arial" w:hAnsi="Arial" w:cs="Arial"/>
          <w:b/>
          <w:bCs/>
          <w:lang w:val="en-GB"/>
        </w:rPr>
      </w:pPr>
    </w:p>
    <w:p w:rsidRPr="00F77149" w:rsidR="00F77149" w:rsidP="006D348E" w:rsidRDefault="00F77149" w14:paraId="43431817" w14:textId="2722B1EC">
      <w:pPr>
        <w:jc w:val="both"/>
        <w:rPr>
          <w:rFonts w:ascii="Arial" w:hAnsi="Arial" w:cs="Arial"/>
          <w:b/>
          <w:bCs/>
          <w:lang w:val="en-GB"/>
        </w:rPr>
      </w:pPr>
      <w:r w:rsidRPr="00F77149">
        <w:rPr>
          <w:rFonts w:ascii="Arial" w:hAnsi="Arial" w:cs="Arial"/>
          <w:b/>
          <w:bCs/>
          <w:lang w:val="en-GB"/>
        </w:rPr>
        <w:t>References</w:t>
      </w:r>
    </w:p>
    <w:sectPr w:rsidRPr="00F77149" w:rsidR="00F77149">
      <w:headerReference w:type="default" r:id="rId8"/>
      <w:footerReference w:type="default" r:id="rId9"/>
      <w:endnotePr>
        <w:numFmt w:val="decimal"/>
      </w:endnotePr>
      <w:pgSz w:w="11906" w:h="16838" w:orient="portrait"/>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3F42" w:rsidP="00CA4EC2" w:rsidRDefault="00233F42" w14:paraId="44B8ADD3" w14:textId="77777777">
      <w:pPr>
        <w:spacing w:after="0" w:line="240" w:lineRule="auto"/>
      </w:pPr>
      <w:r>
        <w:separator/>
      </w:r>
    </w:p>
  </w:endnote>
  <w:endnote w:type="continuationSeparator" w:id="0">
    <w:p w:rsidR="00233F42" w:rsidP="00CA4EC2" w:rsidRDefault="00233F42" w14:paraId="75097259" w14:textId="77777777">
      <w:pPr>
        <w:spacing w:after="0" w:line="240" w:lineRule="auto"/>
      </w:pPr>
      <w:r>
        <w:continuationSeparator/>
      </w:r>
    </w:p>
  </w:endnote>
  <w:endnote w:id="1">
    <w:p w:rsidRPr="00E95E70" w:rsidR="00E95E70" w:rsidP="00E95E70" w:rsidRDefault="00E95E70" w14:paraId="5C0AAADF" w14:textId="5D672E20">
      <w:pPr>
        <w:pStyle w:val="EndnoteText"/>
        <w:jc w:val="both"/>
        <w:rPr>
          <w:rFonts w:ascii="Arial" w:hAnsi="Arial" w:cs="Arial"/>
          <w:sz w:val="24"/>
          <w:szCs w:val="24"/>
          <w:lang w:val="en-US"/>
        </w:rPr>
      </w:pPr>
      <w:r w:rsidRPr="00E95E70">
        <w:rPr>
          <w:rStyle w:val="EndnoteReference"/>
          <w:rFonts w:ascii="Arial" w:hAnsi="Arial" w:cs="Arial"/>
          <w:sz w:val="24"/>
          <w:szCs w:val="24"/>
          <w:vertAlign w:val="baseline"/>
        </w:rPr>
        <w:endnoteRef/>
      </w:r>
      <w:r w:rsidRPr="00E95E70">
        <w:rPr>
          <w:rFonts w:ascii="Arial" w:hAnsi="Arial" w:cs="Arial"/>
          <w:sz w:val="24"/>
          <w:szCs w:val="24"/>
          <w:lang w:val="en-US"/>
        </w:rPr>
        <w:t>. Thompson</w:t>
      </w:r>
      <w:r>
        <w:rPr>
          <w:rFonts w:ascii="Arial" w:hAnsi="Arial" w:cs="Arial"/>
          <w:sz w:val="24"/>
          <w:szCs w:val="24"/>
          <w:lang w:val="en-US"/>
        </w:rPr>
        <w:t xml:space="preserve"> M</w:t>
      </w:r>
      <w:r w:rsidRPr="00E95E70">
        <w:rPr>
          <w:rFonts w:ascii="Arial" w:hAnsi="Arial" w:cs="Arial"/>
          <w:sz w:val="24"/>
          <w:szCs w:val="24"/>
          <w:lang w:val="en-US"/>
        </w:rPr>
        <w:t>, Ramsey</w:t>
      </w:r>
      <w:r>
        <w:rPr>
          <w:rFonts w:ascii="Arial" w:hAnsi="Arial" w:cs="Arial"/>
          <w:sz w:val="24"/>
          <w:szCs w:val="24"/>
          <w:lang w:val="en-US"/>
        </w:rPr>
        <w:t xml:space="preserve"> M</w:t>
      </w:r>
      <w:r w:rsidRPr="00E95E70">
        <w:rPr>
          <w:rFonts w:ascii="Arial" w:hAnsi="Arial" w:cs="Arial"/>
          <w:sz w:val="24"/>
          <w:szCs w:val="24"/>
          <w:lang w:val="en-US"/>
        </w:rPr>
        <w:t>,</w:t>
      </w:r>
      <w:r>
        <w:rPr>
          <w:rFonts w:ascii="Arial" w:hAnsi="Arial" w:cs="Arial"/>
          <w:sz w:val="24"/>
          <w:szCs w:val="24"/>
          <w:lang w:val="en-US"/>
        </w:rPr>
        <w:t xml:space="preserve"> “</w:t>
      </w:r>
      <w:r w:rsidRPr="00E95E70">
        <w:rPr>
          <w:rFonts w:ascii="Arial" w:hAnsi="Arial" w:cs="Arial"/>
          <w:sz w:val="24"/>
          <w:szCs w:val="24"/>
          <w:lang w:val="en-US"/>
        </w:rPr>
        <w:t>Environmental and Agricultural Applications of Atomic Spectroscopy</w:t>
      </w:r>
      <w:r>
        <w:rPr>
          <w:rFonts w:ascii="Arial" w:hAnsi="Arial" w:cs="Arial"/>
          <w:sz w:val="24"/>
          <w:szCs w:val="24"/>
          <w:lang w:val="en-US"/>
        </w:rPr>
        <w:t>”</w:t>
      </w:r>
      <w:r w:rsidRPr="00E95E70">
        <w:rPr>
          <w:rFonts w:ascii="Arial" w:hAnsi="Arial" w:cs="Arial"/>
          <w:sz w:val="24"/>
          <w:szCs w:val="24"/>
          <w:lang w:val="en-US"/>
        </w:rPr>
        <w:t>,</w:t>
      </w:r>
      <w:r>
        <w:rPr>
          <w:rFonts w:ascii="Arial" w:hAnsi="Arial" w:cs="Arial"/>
          <w:sz w:val="24"/>
          <w:szCs w:val="24"/>
          <w:lang w:val="en-US"/>
        </w:rPr>
        <w:t xml:space="preserve"> </w:t>
      </w:r>
      <w:r w:rsidRPr="00E95E70">
        <w:rPr>
          <w:rFonts w:ascii="Arial" w:hAnsi="Arial" w:cs="Arial"/>
          <w:sz w:val="24"/>
          <w:szCs w:val="24"/>
          <w:lang w:val="en-US"/>
        </w:rPr>
        <w:t>Encyclopedia of Spectroscopy and Spectrometry (Second Edition),</w:t>
      </w:r>
    </w:p>
    <w:p w:rsidRPr="00E95E70" w:rsidR="00E95E70" w:rsidP="00E95E70" w:rsidRDefault="00E95E70" w14:paraId="203C33BA" w14:textId="752850CA">
      <w:pPr>
        <w:pStyle w:val="EndnoteText"/>
        <w:jc w:val="both"/>
        <w:rPr>
          <w:rFonts w:ascii="Arial" w:hAnsi="Arial" w:cs="Arial"/>
          <w:sz w:val="24"/>
          <w:szCs w:val="24"/>
          <w:lang w:val="en-US"/>
        </w:rPr>
      </w:pPr>
      <w:r w:rsidRPr="00E95E70">
        <w:rPr>
          <w:rFonts w:ascii="Arial" w:hAnsi="Arial" w:cs="Arial"/>
          <w:sz w:val="24"/>
          <w:szCs w:val="24"/>
          <w:lang w:val="en-US"/>
        </w:rPr>
        <w:t>Academic Press,1999, 494-501,</w:t>
      </w:r>
      <w:r>
        <w:rPr>
          <w:rFonts w:ascii="Arial" w:hAnsi="Arial" w:cs="Arial"/>
          <w:sz w:val="24"/>
          <w:szCs w:val="24"/>
          <w:lang w:val="en-US"/>
        </w:rPr>
        <w:t xml:space="preserve"> </w:t>
      </w:r>
      <w:r w:rsidRPr="00E95E70">
        <w:rPr>
          <w:rFonts w:ascii="Arial" w:hAnsi="Arial" w:cs="Arial"/>
          <w:sz w:val="24"/>
          <w:szCs w:val="24"/>
          <w:lang w:val="en-US"/>
        </w:rPr>
        <w:t>https://doi.org/10.1016/B978-0-12-374413-5.00135-4.</w:t>
      </w:r>
    </w:p>
    <w:p w:rsidRPr="00E95E70" w:rsidR="00E95E70" w:rsidP="00E95E70" w:rsidRDefault="00E95E70" w14:paraId="14FA7C57" w14:textId="26B04EB2">
      <w:pPr>
        <w:pStyle w:val="EndnoteText"/>
        <w:rPr>
          <w:rFonts w:ascii="Arial" w:hAnsi="Arial" w:cs="Arial"/>
          <w:sz w:val="24"/>
          <w:szCs w:val="24"/>
          <w:lang w:val="en-US"/>
        </w:rPr>
      </w:pPr>
    </w:p>
  </w:endnote>
  <w:endnote w:id="2">
    <w:p w:rsidRPr="00F77149" w:rsidR="00F77149" w:rsidRDefault="00F77149" w14:paraId="607F4991" w14:textId="2BE67075">
      <w:pPr>
        <w:pStyle w:val="EndnoteText"/>
        <w:rPr>
          <w:rFonts w:ascii="Arial" w:hAnsi="Arial" w:cs="Arial"/>
          <w:sz w:val="24"/>
          <w:szCs w:val="24"/>
          <w:lang w:val="en-US"/>
        </w:rPr>
      </w:pPr>
      <w:r w:rsidRPr="00F77149">
        <w:rPr>
          <w:rStyle w:val="EndnoteReference"/>
          <w:rFonts w:ascii="Arial" w:hAnsi="Arial" w:cs="Arial"/>
          <w:sz w:val="24"/>
          <w:szCs w:val="24"/>
          <w:vertAlign w:val="baseline"/>
        </w:rPr>
        <w:endnoteRef/>
      </w:r>
      <w:r w:rsidRPr="00F77149">
        <w:rPr>
          <w:rFonts w:ascii="Arial" w:hAnsi="Arial" w:cs="Arial"/>
          <w:sz w:val="24"/>
          <w:szCs w:val="24"/>
          <w:lang w:val="en-US"/>
        </w:rPr>
        <w:t xml:space="preserve">. </w:t>
      </w:r>
      <w:r w:rsidRPr="00964B01" w:rsidR="00964B01">
        <w:rPr>
          <w:rFonts w:ascii="Arial" w:hAnsi="Arial" w:cs="Arial"/>
          <w:sz w:val="24"/>
          <w:szCs w:val="24"/>
          <w:lang w:val="en-US"/>
        </w:rPr>
        <w:t>SO. ISO Guide 98-3, Guide to the Expression of Uncertainty in Measurement; International Organization for Standardization: Geneva, Switzerland, 2008; ISBN 9267101889.</w:t>
      </w:r>
      <w:r w:rsidRPr="00F77149">
        <w:rPr>
          <w:rFonts w:ascii="Arial" w:hAnsi="Arial" w:cs="Arial"/>
          <w:sz w:val="24"/>
          <w:szCs w:val="24"/>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2C94" w:rsidR="00E12C94" w:rsidRDefault="00E12C94" w14:paraId="50D6C3F5" w14:textId="23EB6C4D">
    <w:pPr>
      <w:pStyle w:val="Footer"/>
      <w:rPr>
        <w:lang w:val="en-GB"/>
      </w:rPr>
    </w:pPr>
    <w:r w:rsidRPr="00E12C94">
      <w:rPr>
        <w:lang w:val="en-GB"/>
      </w:rPr>
      <w:t>Status: Document could be u</w:t>
    </w:r>
    <w:r>
      <w:rPr>
        <w:lang w:val="en-GB"/>
      </w:rPr>
      <w:t xml:space="preserve">pdated if </w:t>
    </w:r>
    <w:r w:rsidR="00B85936">
      <w:rPr>
        <w:lang w:val="en-GB"/>
      </w:rPr>
      <w:t>further</w:t>
    </w:r>
    <w:r>
      <w:rPr>
        <w:lang w:val="en-GB"/>
      </w:rPr>
      <w:t xml:space="preserve"> information or changes are received</w:t>
    </w:r>
    <w:r w:rsidR="00B85936">
      <w:rPr>
        <w:lang w:val="en-GB"/>
      </w:rPr>
      <w:t xml:space="preserve"> with the course of the project.</w:t>
    </w:r>
  </w:p>
  <w:p w:rsidRPr="00E12C94" w:rsidR="00E12C94" w:rsidRDefault="00E12C94" w14:paraId="3F7C3EF1" w14:textId="77777777">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3F42" w:rsidP="00CA4EC2" w:rsidRDefault="00233F42" w14:paraId="14561BDD" w14:textId="77777777">
      <w:pPr>
        <w:spacing w:after="0" w:line="240" w:lineRule="auto"/>
      </w:pPr>
      <w:bookmarkStart w:name="_Hlk161307626" w:id="0"/>
      <w:bookmarkEnd w:id="0"/>
      <w:r>
        <w:separator/>
      </w:r>
    </w:p>
  </w:footnote>
  <w:footnote w:type="continuationSeparator" w:id="0">
    <w:p w:rsidR="00233F42" w:rsidP="00CA4EC2" w:rsidRDefault="00233F42" w14:paraId="796187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p14">
  <w:p w:rsidRPr="007C7107" w:rsidR="00CA4EC2" w:rsidP="00CA4EC2" w:rsidRDefault="00CA4EC2" w14:paraId="34707482" w14:textId="193A5F16">
    <w:pPr>
      <w:rPr>
        <w:lang w:val="en-GB"/>
      </w:rPr>
    </w:pPr>
    <w:r w:rsidRPr="00CA4EC2">
      <w:rPr>
        <w:rFonts w:ascii="Calibri" w:hAnsi="Calibri" w:cs="Calibri"/>
        <w:sz w:val="22"/>
        <w:szCs w:val="22"/>
      </w:rPr>
      <w:t xml:space="preserve">21NRM04 </w:t>
    </w:r>
    <w:proofErr w:type="spellStart"/>
    <w:r w:rsidRPr="00CA4EC2">
      <w:rPr>
        <w:rFonts w:ascii="Calibri" w:hAnsi="Calibri" w:cs="Calibri"/>
        <w:sz w:val="22"/>
        <w:szCs w:val="22"/>
      </w:rPr>
      <w:t>BiometCAP</w:t>
    </w:r>
    <w:proofErr w:type="spellEnd"/>
    <w:r w:rsidRPr="00CA4EC2">
      <w:rPr>
        <w:rFonts w:ascii="Calibri" w:hAnsi="Calibri" w:cs="Calibri"/>
        <w:sz w:val="22"/>
        <w:szCs w:val="22"/>
      </w:rPr>
      <w:t xml:space="preserve"> A3.1.2                                                                                         </w:t>
    </w:r>
    <w:r>
      <w:t xml:space="preserve">          </w:t>
    </w:r>
    <w:r w:rsidRPr="007C7107">
      <w:rPr>
        <w:noProof/>
      </w:rPr>
      <w:drawing>
        <wp:inline distT="0" distB="0" distL="0" distR="0" wp14:anchorId="6F5E7E7F" wp14:editId="1727AE1F">
          <wp:extent cx="869950" cy="203116"/>
          <wp:effectExtent l="0" t="0" r="6350" b="6985"/>
          <wp:docPr id="25" name="Picture 24">
            <a:extLst xmlns:a="http://schemas.openxmlformats.org/drawingml/2006/main">
              <a:ext uri="{FF2B5EF4-FFF2-40B4-BE49-F238E27FC236}">
                <a16:creationId xmlns:a16="http://schemas.microsoft.com/office/drawing/2014/main" id="{B30B801F-53AD-4462-AFDC-F465F89451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B30B801F-53AD-4462-AFDC-F465F8945148}"/>
                      </a:ext>
                    </a:extLst>
                  </pic:cNvPr>
                  <pic:cNvPicPr>
                    <a:picLocks noChangeAspect="1"/>
                  </pic:cNvPicPr>
                </pic:nvPicPr>
                <pic:blipFill>
                  <a:blip r:embed="rId1"/>
                  <a:stretch>
                    <a:fillRect/>
                  </a:stretch>
                </pic:blipFill>
                <pic:spPr>
                  <a:xfrm>
                    <a:off x="0" y="0"/>
                    <a:ext cx="893661" cy="208652"/>
                  </a:xfrm>
                  <a:prstGeom prst="rect">
                    <a:avLst/>
                  </a:prstGeom>
                </pic:spPr>
              </pic:pic>
            </a:graphicData>
          </a:graphic>
        </wp:inline>
      </w:drawing>
    </w:r>
    <w:r>
      <w:t xml:space="preserve">   </w:t>
    </w:r>
  </w:p>
  <w:p w:rsidR="00CA4EC2" w:rsidRDefault="00CA4EC2" w14:paraId="49E7B6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09FD"/>
    <w:multiLevelType w:val="hybridMultilevel"/>
    <w:tmpl w:val="A5B813FA"/>
    <w:lvl w:ilvl="0" w:tplc="04070001">
      <w:start w:val="1"/>
      <w:numFmt w:val="bullet"/>
      <w:lvlText w:val=""/>
      <w:lvlJc w:val="left"/>
      <w:pPr>
        <w:ind w:left="810" w:hanging="360"/>
      </w:pPr>
      <w:rPr>
        <w:rFonts w:hint="default" w:ascii="Symbol" w:hAnsi="Symbol"/>
      </w:rPr>
    </w:lvl>
    <w:lvl w:ilvl="1" w:tplc="04070003" w:tentative="1">
      <w:start w:val="1"/>
      <w:numFmt w:val="bullet"/>
      <w:lvlText w:val="o"/>
      <w:lvlJc w:val="left"/>
      <w:pPr>
        <w:ind w:left="1530" w:hanging="360"/>
      </w:pPr>
      <w:rPr>
        <w:rFonts w:hint="default" w:ascii="Courier New" w:hAnsi="Courier New" w:cs="Courier New"/>
      </w:rPr>
    </w:lvl>
    <w:lvl w:ilvl="2" w:tplc="04070005" w:tentative="1">
      <w:start w:val="1"/>
      <w:numFmt w:val="bullet"/>
      <w:lvlText w:val=""/>
      <w:lvlJc w:val="left"/>
      <w:pPr>
        <w:ind w:left="2250" w:hanging="360"/>
      </w:pPr>
      <w:rPr>
        <w:rFonts w:hint="default" w:ascii="Wingdings" w:hAnsi="Wingdings"/>
      </w:rPr>
    </w:lvl>
    <w:lvl w:ilvl="3" w:tplc="04070001" w:tentative="1">
      <w:start w:val="1"/>
      <w:numFmt w:val="bullet"/>
      <w:lvlText w:val=""/>
      <w:lvlJc w:val="left"/>
      <w:pPr>
        <w:ind w:left="2970" w:hanging="360"/>
      </w:pPr>
      <w:rPr>
        <w:rFonts w:hint="default" w:ascii="Symbol" w:hAnsi="Symbol"/>
      </w:rPr>
    </w:lvl>
    <w:lvl w:ilvl="4" w:tplc="04070003" w:tentative="1">
      <w:start w:val="1"/>
      <w:numFmt w:val="bullet"/>
      <w:lvlText w:val="o"/>
      <w:lvlJc w:val="left"/>
      <w:pPr>
        <w:ind w:left="3690" w:hanging="360"/>
      </w:pPr>
      <w:rPr>
        <w:rFonts w:hint="default" w:ascii="Courier New" w:hAnsi="Courier New" w:cs="Courier New"/>
      </w:rPr>
    </w:lvl>
    <w:lvl w:ilvl="5" w:tplc="04070005" w:tentative="1">
      <w:start w:val="1"/>
      <w:numFmt w:val="bullet"/>
      <w:lvlText w:val=""/>
      <w:lvlJc w:val="left"/>
      <w:pPr>
        <w:ind w:left="4410" w:hanging="360"/>
      </w:pPr>
      <w:rPr>
        <w:rFonts w:hint="default" w:ascii="Wingdings" w:hAnsi="Wingdings"/>
      </w:rPr>
    </w:lvl>
    <w:lvl w:ilvl="6" w:tplc="04070001" w:tentative="1">
      <w:start w:val="1"/>
      <w:numFmt w:val="bullet"/>
      <w:lvlText w:val=""/>
      <w:lvlJc w:val="left"/>
      <w:pPr>
        <w:ind w:left="5130" w:hanging="360"/>
      </w:pPr>
      <w:rPr>
        <w:rFonts w:hint="default" w:ascii="Symbol" w:hAnsi="Symbol"/>
      </w:rPr>
    </w:lvl>
    <w:lvl w:ilvl="7" w:tplc="04070003" w:tentative="1">
      <w:start w:val="1"/>
      <w:numFmt w:val="bullet"/>
      <w:lvlText w:val="o"/>
      <w:lvlJc w:val="left"/>
      <w:pPr>
        <w:ind w:left="5850" w:hanging="360"/>
      </w:pPr>
      <w:rPr>
        <w:rFonts w:hint="default" w:ascii="Courier New" w:hAnsi="Courier New" w:cs="Courier New"/>
      </w:rPr>
    </w:lvl>
    <w:lvl w:ilvl="8" w:tplc="04070005" w:tentative="1">
      <w:start w:val="1"/>
      <w:numFmt w:val="bullet"/>
      <w:lvlText w:val=""/>
      <w:lvlJc w:val="left"/>
      <w:pPr>
        <w:ind w:left="6570" w:hanging="360"/>
      </w:pPr>
      <w:rPr>
        <w:rFonts w:hint="default" w:ascii="Wingdings" w:hAnsi="Wingdings"/>
      </w:rPr>
    </w:lvl>
  </w:abstractNum>
  <w:abstractNum w:abstractNumId="1" w15:restartNumberingAfterBreak="0">
    <w:nsid w:val="212C4465"/>
    <w:multiLevelType w:val="multilevel"/>
    <w:tmpl w:val="3492577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AC07820"/>
    <w:multiLevelType w:val="hybridMultilevel"/>
    <w:tmpl w:val="04C0A0C0"/>
    <w:lvl w:ilvl="0" w:tplc="04070001">
      <w:start w:val="1"/>
      <w:numFmt w:val="bullet"/>
      <w:lvlText w:val=""/>
      <w:lvlJc w:val="left"/>
      <w:pPr>
        <w:ind w:left="810" w:hanging="360"/>
      </w:pPr>
      <w:rPr>
        <w:rFonts w:hint="default" w:ascii="Symbol" w:hAnsi="Symbol"/>
      </w:rPr>
    </w:lvl>
    <w:lvl w:ilvl="1" w:tplc="04070003" w:tentative="1">
      <w:start w:val="1"/>
      <w:numFmt w:val="bullet"/>
      <w:lvlText w:val="o"/>
      <w:lvlJc w:val="left"/>
      <w:pPr>
        <w:ind w:left="1530" w:hanging="360"/>
      </w:pPr>
      <w:rPr>
        <w:rFonts w:hint="default" w:ascii="Courier New" w:hAnsi="Courier New" w:cs="Courier New"/>
      </w:rPr>
    </w:lvl>
    <w:lvl w:ilvl="2" w:tplc="04070005" w:tentative="1">
      <w:start w:val="1"/>
      <w:numFmt w:val="bullet"/>
      <w:lvlText w:val=""/>
      <w:lvlJc w:val="left"/>
      <w:pPr>
        <w:ind w:left="2250" w:hanging="360"/>
      </w:pPr>
      <w:rPr>
        <w:rFonts w:hint="default" w:ascii="Wingdings" w:hAnsi="Wingdings"/>
      </w:rPr>
    </w:lvl>
    <w:lvl w:ilvl="3" w:tplc="04070001" w:tentative="1">
      <w:start w:val="1"/>
      <w:numFmt w:val="bullet"/>
      <w:lvlText w:val=""/>
      <w:lvlJc w:val="left"/>
      <w:pPr>
        <w:ind w:left="2970" w:hanging="360"/>
      </w:pPr>
      <w:rPr>
        <w:rFonts w:hint="default" w:ascii="Symbol" w:hAnsi="Symbol"/>
      </w:rPr>
    </w:lvl>
    <w:lvl w:ilvl="4" w:tplc="04070003" w:tentative="1">
      <w:start w:val="1"/>
      <w:numFmt w:val="bullet"/>
      <w:lvlText w:val="o"/>
      <w:lvlJc w:val="left"/>
      <w:pPr>
        <w:ind w:left="3690" w:hanging="360"/>
      </w:pPr>
      <w:rPr>
        <w:rFonts w:hint="default" w:ascii="Courier New" w:hAnsi="Courier New" w:cs="Courier New"/>
      </w:rPr>
    </w:lvl>
    <w:lvl w:ilvl="5" w:tplc="04070005" w:tentative="1">
      <w:start w:val="1"/>
      <w:numFmt w:val="bullet"/>
      <w:lvlText w:val=""/>
      <w:lvlJc w:val="left"/>
      <w:pPr>
        <w:ind w:left="4410" w:hanging="360"/>
      </w:pPr>
      <w:rPr>
        <w:rFonts w:hint="default" w:ascii="Wingdings" w:hAnsi="Wingdings"/>
      </w:rPr>
    </w:lvl>
    <w:lvl w:ilvl="6" w:tplc="04070001" w:tentative="1">
      <w:start w:val="1"/>
      <w:numFmt w:val="bullet"/>
      <w:lvlText w:val=""/>
      <w:lvlJc w:val="left"/>
      <w:pPr>
        <w:ind w:left="5130" w:hanging="360"/>
      </w:pPr>
      <w:rPr>
        <w:rFonts w:hint="default" w:ascii="Symbol" w:hAnsi="Symbol"/>
      </w:rPr>
    </w:lvl>
    <w:lvl w:ilvl="7" w:tplc="04070003" w:tentative="1">
      <w:start w:val="1"/>
      <w:numFmt w:val="bullet"/>
      <w:lvlText w:val="o"/>
      <w:lvlJc w:val="left"/>
      <w:pPr>
        <w:ind w:left="5850" w:hanging="360"/>
      </w:pPr>
      <w:rPr>
        <w:rFonts w:hint="default" w:ascii="Courier New" w:hAnsi="Courier New" w:cs="Courier New"/>
      </w:rPr>
    </w:lvl>
    <w:lvl w:ilvl="8" w:tplc="04070005" w:tentative="1">
      <w:start w:val="1"/>
      <w:numFmt w:val="bullet"/>
      <w:lvlText w:val=""/>
      <w:lvlJc w:val="left"/>
      <w:pPr>
        <w:ind w:left="6570" w:hanging="360"/>
      </w:pPr>
      <w:rPr>
        <w:rFonts w:hint="default" w:ascii="Wingdings" w:hAnsi="Wingdings"/>
      </w:rPr>
    </w:lvl>
  </w:abstractNum>
  <w:num w:numId="1" w16cid:durableId="647365837">
    <w:abstractNumId w:val="1"/>
  </w:num>
  <w:num w:numId="2" w16cid:durableId="1115061768">
    <w:abstractNumId w:val="2"/>
  </w:num>
  <w:num w:numId="3" w16cid:durableId="108819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B4"/>
    <w:rsid w:val="001470E7"/>
    <w:rsid w:val="00224A02"/>
    <w:rsid w:val="00233F42"/>
    <w:rsid w:val="002412B4"/>
    <w:rsid w:val="0029297E"/>
    <w:rsid w:val="00292CA8"/>
    <w:rsid w:val="002F26CE"/>
    <w:rsid w:val="00314FFB"/>
    <w:rsid w:val="003B17D4"/>
    <w:rsid w:val="003D4662"/>
    <w:rsid w:val="004628EE"/>
    <w:rsid w:val="004B5DAF"/>
    <w:rsid w:val="004B6351"/>
    <w:rsid w:val="004F46A4"/>
    <w:rsid w:val="004F5067"/>
    <w:rsid w:val="0057470E"/>
    <w:rsid w:val="005A7E83"/>
    <w:rsid w:val="006D348E"/>
    <w:rsid w:val="00722B5D"/>
    <w:rsid w:val="0074166A"/>
    <w:rsid w:val="00766705"/>
    <w:rsid w:val="007D3AB1"/>
    <w:rsid w:val="00803F2C"/>
    <w:rsid w:val="00805680"/>
    <w:rsid w:val="00813A1F"/>
    <w:rsid w:val="00921847"/>
    <w:rsid w:val="00963CB1"/>
    <w:rsid w:val="00964B01"/>
    <w:rsid w:val="00970AB2"/>
    <w:rsid w:val="009C623E"/>
    <w:rsid w:val="00A2673B"/>
    <w:rsid w:val="00A564BC"/>
    <w:rsid w:val="00A841C8"/>
    <w:rsid w:val="00A845E4"/>
    <w:rsid w:val="00AB3C36"/>
    <w:rsid w:val="00AC19CB"/>
    <w:rsid w:val="00B771D3"/>
    <w:rsid w:val="00B85936"/>
    <w:rsid w:val="00BE282B"/>
    <w:rsid w:val="00BF1933"/>
    <w:rsid w:val="00BF7AE9"/>
    <w:rsid w:val="00C17E81"/>
    <w:rsid w:val="00C2312C"/>
    <w:rsid w:val="00C76DD7"/>
    <w:rsid w:val="00C85DA9"/>
    <w:rsid w:val="00CA4EC2"/>
    <w:rsid w:val="00D07131"/>
    <w:rsid w:val="00D42C1B"/>
    <w:rsid w:val="00E12C94"/>
    <w:rsid w:val="00E20251"/>
    <w:rsid w:val="00E21F48"/>
    <w:rsid w:val="00E868D3"/>
    <w:rsid w:val="00E95E70"/>
    <w:rsid w:val="00EE3EA3"/>
    <w:rsid w:val="00EE5344"/>
    <w:rsid w:val="00F77149"/>
    <w:rsid w:val="00FE2813"/>
    <w:rsid w:val="00FF02C8"/>
    <w:rsid w:val="0BDF9053"/>
    <w:rsid w:val="0E448908"/>
    <w:rsid w:val="0F26E5E5"/>
    <w:rsid w:val="121130F6"/>
    <w:rsid w:val="131CF6F3"/>
    <w:rsid w:val="14311F24"/>
    <w:rsid w:val="179AFB7B"/>
    <w:rsid w:val="1A15E9EB"/>
    <w:rsid w:val="1B0684B1"/>
    <w:rsid w:val="1BDD30DE"/>
    <w:rsid w:val="20725C02"/>
    <w:rsid w:val="2C2A94ED"/>
    <w:rsid w:val="30CAB434"/>
    <w:rsid w:val="32668495"/>
    <w:rsid w:val="36DD382D"/>
    <w:rsid w:val="3AFD257F"/>
    <w:rsid w:val="3B0CCCBF"/>
    <w:rsid w:val="3B65596D"/>
    <w:rsid w:val="40E8C584"/>
    <w:rsid w:val="44206646"/>
    <w:rsid w:val="46907709"/>
    <w:rsid w:val="497AF1E0"/>
    <w:rsid w:val="4C070C3C"/>
    <w:rsid w:val="4CA167B0"/>
    <w:rsid w:val="4CC3DE59"/>
    <w:rsid w:val="4CFD8B8C"/>
    <w:rsid w:val="5273C538"/>
    <w:rsid w:val="5350198E"/>
    <w:rsid w:val="553FBA64"/>
    <w:rsid w:val="61D79B1D"/>
    <w:rsid w:val="62880DDC"/>
    <w:rsid w:val="65F18F16"/>
    <w:rsid w:val="66361A6F"/>
    <w:rsid w:val="6A864898"/>
    <w:rsid w:val="6B81FD03"/>
    <w:rsid w:val="6DBDE95A"/>
    <w:rsid w:val="77B43BD8"/>
    <w:rsid w:val="78267BA4"/>
    <w:rsid w:val="7C2A8A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C0324"/>
  <w15:chartTrackingRefBased/>
  <w15:docId w15:val="{CA84DD45-7901-4401-8559-2C26939A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12B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2B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2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2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2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2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2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2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2B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12B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412B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412B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412B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412B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412B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12B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12B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12B4"/>
    <w:rPr>
      <w:rFonts w:eastAsiaTheme="majorEastAsia" w:cstheme="majorBidi"/>
      <w:color w:val="272727" w:themeColor="text1" w:themeTint="D8"/>
    </w:rPr>
  </w:style>
  <w:style w:type="paragraph" w:styleId="Title">
    <w:name w:val="Title"/>
    <w:basedOn w:val="Normal"/>
    <w:next w:val="Normal"/>
    <w:link w:val="TitleChar"/>
    <w:uiPriority w:val="10"/>
    <w:qFormat/>
    <w:rsid w:val="002412B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12B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12B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12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2B4"/>
    <w:pPr>
      <w:spacing w:before="160"/>
      <w:jc w:val="center"/>
    </w:pPr>
    <w:rPr>
      <w:i/>
      <w:iCs/>
      <w:color w:val="404040" w:themeColor="text1" w:themeTint="BF"/>
    </w:rPr>
  </w:style>
  <w:style w:type="character" w:styleId="QuoteChar" w:customStyle="1">
    <w:name w:val="Quote Char"/>
    <w:basedOn w:val="DefaultParagraphFont"/>
    <w:link w:val="Quote"/>
    <w:uiPriority w:val="29"/>
    <w:rsid w:val="002412B4"/>
    <w:rPr>
      <w:i/>
      <w:iCs/>
      <w:color w:val="404040" w:themeColor="text1" w:themeTint="BF"/>
    </w:rPr>
  </w:style>
  <w:style w:type="paragraph" w:styleId="ListParagraph">
    <w:name w:val="List Paragraph"/>
    <w:basedOn w:val="Normal"/>
    <w:uiPriority w:val="34"/>
    <w:qFormat/>
    <w:rsid w:val="002412B4"/>
    <w:pPr>
      <w:ind w:left="720"/>
      <w:contextualSpacing/>
    </w:pPr>
  </w:style>
  <w:style w:type="character" w:styleId="IntenseEmphasis">
    <w:name w:val="Intense Emphasis"/>
    <w:basedOn w:val="DefaultParagraphFont"/>
    <w:uiPriority w:val="21"/>
    <w:qFormat/>
    <w:rsid w:val="002412B4"/>
    <w:rPr>
      <w:i/>
      <w:iCs/>
      <w:color w:val="0F4761" w:themeColor="accent1" w:themeShade="BF"/>
    </w:rPr>
  </w:style>
  <w:style w:type="paragraph" w:styleId="IntenseQuote">
    <w:name w:val="Intense Quote"/>
    <w:basedOn w:val="Normal"/>
    <w:next w:val="Normal"/>
    <w:link w:val="IntenseQuoteChar"/>
    <w:uiPriority w:val="30"/>
    <w:qFormat/>
    <w:rsid w:val="002412B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12B4"/>
    <w:rPr>
      <w:i/>
      <w:iCs/>
      <w:color w:val="0F4761" w:themeColor="accent1" w:themeShade="BF"/>
    </w:rPr>
  </w:style>
  <w:style w:type="character" w:styleId="IntenseReference">
    <w:name w:val="Intense Reference"/>
    <w:basedOn w:val="DefaultParagraphFont"/>
    <w:uiPriority w:val="32"/>
    <w:qFormat/>
    <w:rsid w:val="002412B4"/>
    <w:rPr>
      <w:b/>
      <w:bCs/>
      <w:smallCaps/>
      <w:color w:val="0F4761" w:themeColor="accent1" w:themeShade="BF"/>
      <w:spacing w:val="5"/>
    </w:rPr>
  </w:style>
  <w:style w:type="paragraph" w:styleId="Default" w:customStyle="1">
    <w:name w:val="Default"/>
    <w:rsid w:val="002412B4"/>
    <w:pPr>
      <w:autoSpaceDE w:val="0"/>
      <w:autoSpaceDN w:val="0"/>
      <w:adjustRightInd w:val="0"/>
      <w:spacing w:after="0" w:line="240" w:lineRule="auto"/>
    </w:pPr>
    <w:rPr>
      <w:rFonts w:ascii="Arial" w:hAnsi="Arial" w:cs="Arial"/>
      <w:color w:val="000000"/>
      <w:kern w:val="0"/>
    </w:rPr>
  </w:style>
  <w:style w:type="table" w:styleId="TableGrid">
    <w:name w:val="Table Grid"/>
    <w:basedOn w:val="TableNormal"/>
    <w:uiPriority w:val="39"/>
    <w:rsid w:val="009C623E"/>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A4EC2"/>
    <w:pPr>
      <w:tabs>
        <w:tab w:val="center" w:pos="4536"/>
        <w:tab w:val="right" w:pos="9072"/>
      </w:tabs>
      <w:spacing w:after="0" w:line="240" w:lineRule="auto"/>
    </w:pPr>
  </w:style>
  <w:style w:type="character" w:styleId="HeaderChar" w:customStyle="1">
    <w:name w:val="Header Char"/>
    <w:basedOn w:val="DefaultParagraphFont"/>
    <w:link w:val="Header"/>
    <w:uiPriority w:val="99"/>
    <w:rsid w:val="00CA4EC2"/>
  </w:style>
  <w:style w:type="paragraph" w:styleId="Footer">
    <w:name w:val="footer"/>
    <w:basedOn w:val="Normal"/>
    <w:link w:val="FooterChar"/>
    <w:uiPriority w:val="99"/>
    <w:unhideWhenUsed/>
    <w:rsid w:val="00CA4EC2"/>
    <w:pPr>
      <w:tabs>
        <w:tab w:val="center" w:pos="4536"/>
        <w:tab w:val="right" w:pos="9072"/>
      </w:tabs>
      <w:spacing w:after="0" w:line="240" w:lineRule="auto"/>
    </w:pPr>
  </w:style>
  <w:style w:type="character" w:styleId="FooterChar" w:customStyle="1">
    <w:name w:val="Footer Char"/>
    <w:basedOn w:val="DefaultParagraphFont"/>
    <w:link w:val="Footer"/>
    <w:uiPriority w:val="99"/>
    <w:rsid w:val="00CA4EC2"/>
  </w:style>
  <w:style w:type="paragraph" w:styleId="Revision">
    <w:name w:val="Revision"/>
    <w:hidden/>
    <w:uiPriority w:val="99"/>
    <w:semiHidden/>
    <w:rsid w:val="00803F2C"/>
    <w:pPr>
      <w:spacing w:after="0" w:line="240" w:lineRule="auto"/>
    </w:pPr>
  </w:style>
  <w:style w:type="character" w:styleId="CommentReference">
    <w:name w:val="annotation reference"/>
    <w:basedOn w:val="DefaultParagraphFont"/>
    <w:uiPriority w:val="99"/>
    <w:semiHidden/>
    <w:unhideWhenUsed/>
    <w:rsid w:val="00803F2C"/>
    <w:rPr>
      <w:sz w:val="16"/>
      <w:szCs w:val="16"/>
    </w:rPr>
  </w:style>
  <w:style w:type="paragraph" w:styleId="CommentText">
    <w:name w:val="annotation text"/>
    <w:basedOn w:val="Normal"/>
    <w:link w:val="CommentTextChar"/>
    <w:uiPriority w:val="99"/>
    <w:unhideWhenUsed/>
    <w:rsid w:val="00803F2C"/>
    <w:pPr>
      <w:spacing w:line="240" w:lineRule="auto"/>
    </w:pPr>
    <w:rPr>
      <w:sz w:val="20"/>
      <w:szCs w:val="20"/>
    </w:rPr>
  </w:style>
  <w:style w:type="character" w:styleId="CommentTextChar" w:customStyle="1">
    <w:name w:val="Comment Text Char"/>
    <w:basedOn w:val="DefaultParagraphFont"/>
    <w:link w:val="CommentText"/>
    <w:uiPriority w:val="99"/>
    <w:rsid w:val="00803F2C"/>
    <w:rPr>
      <w:sz w:val="20"/>
      <w:szCs w:val="20"/>
    </w:rPr>
  </w:style>
  <w:style w:type="paragraph" w:styleId="CommentSubject">
    <w:name w:val="annotation subject"/>
    <w:basedOn w:val="CommentText"/>
    <w:next w:val="CommentText"/>
    <w:link w:val="CommentSubjectChar"/>
    <w:uiPriority w:val="99"/>
    <w:semiHidden/>
    <w:unhideWhenUsed/>
    <w:rsid w:val="00803F2C"/>
    <w:rPr>
      <w:b/>
      <w:bCs/>
    </w:rPr>
  </w:style>
  <w:style w:type="character" w:styleId="CommentSubjectChar" w:customStyle="1">
    <w:name w:val="Comment Subject Char"/>
    <w:basedOn w:val="CommentTextChar"/>
    <w:link w:val="CommentSubject"/>
    <w:uiPriority w:val="99"/>
    <w:semiHidden/>
    <w:rsid w:val="00803F2C"/>
    <w:rPr>
      <w:b/>
      <w:bCs/>
      <w:sz w:val="20"/>
      <w:szCs w:val="20"/>
    </w:rPr>
  </w:style>
  <w:style w:type="paragraph" w:styleId="EndnoteText">
    <w:name w:val="endnote text"/>
    <w:basedOn w:val="Normal"/>
    <w:link w:val="EndnoteTextChar"/>
    <w:uiPriority w:val="99"/>
    <w:semiHidden/>
    <w:unhideWhenUsed/>
    <w:rsid w:val="00E95E70"/>
    <w:pPr>
      <w:spacing w:after="0" w:line="240" w:lineRule="auto"/>
    </w:pPr>
    <w:rPr>
      <w:sz w:val="20"/>
      <w:szCs w:val="20"/>
    </w:rPr>
  </w:style>
  <w:style w:type="character" w:styleId="EndnoteTextChar" w:customStyle="1">
    <w:name w:val="Endnote Text Char"/>
    <w:basedOn w:val="DefaultParagraphFont"/>
    <w:link w:val="EndnoteText"/>
    <w:uiPriority w:val="99"/>
    <w:semiHidden/>
    <w:rsid w:val="00E95E70"/>
    <w:rPr>
      <w:sz w:val="20"/>
      <w:szCs w:val="20"/>
    </w:rPr>
  </w:style>
  <w:style w:type="character" w:styleId="EndnoteReference">
    <w:name w:val="endnote reference"/>
    <w:basedOn w:val="DefaultParagraphFont"/>
    <w:uiPriority w:val="99"/>
    <w:semiHidden/>
    <w:unhideWhenUsed/>
    <w:rsid w:val="00E95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3C802AD1577B45804A1026AA8449F0" ma:contentTypeVersion="9" ma:contentTypeDescription="Create a new document." ma:contentTypeScope="" ma:versionID="80e75e38f8b26775dcc6d07f3f067d31">
  <xsd:schema xmlns:xsd="http://www.w3.org/2001/XMLSchema" xmlns:xs="http://www.w3.org/2001/XMLSchema" xmlns:p="http://schemas.microsoft.com/office/2006/metadata/properties" xmlns:ns2="4795c4f1-7e1a-420c-9c14-83dc92e10ad8" xmlns:ns3="ff94056b-6ab9-4bcc-808c-620de4d8378b" targetNamespace="http://schemas.microsoft.com/office/2006/metadata/properties" ma:root="true" ma:fieldsID="ef0deedd8fc99cc76592eddc9b836ca8" ns2:_="" ns3:_="">
    <xsd:import namespace="4795c4f1-7e1a-420c-9c14-83dc92e10ad8"/>
    <xsd:import namespace="ff94056b-6ab9-4bcc-808c-620de4d837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c4f1-7e1a-420c-9c14-83dc92e10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ateandtime" ma:index="15" nillable="true" ma:displayName="Date and time" ma:format="DateOnly" ma:internalName="Dateandtime">
      <xsd:simpleType>
        <xsd:restriction base="dms:DateTim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4056b-6ab9-4bcc-808c-620de4d837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4795c4f1-7e1a-420c-9c14-83dc92e10ad8" xsi:nil="true"/>
  </documentManagement>
</p:properties>
</file>

<file path=customXml/itemProps1.xml><?xml version="1.0" encoding="utf-8"?>
<ds:datastoreItem xmlns:ds="http://schemas.openxmlformats.org/officeDocument/2006/customXml" ds:itemID="{06ED6592-B4A9-45FE-9797-C53C817830DB}">
  <ds:schemaRefs>
    <ds:schemaRef ds:uri="http://schemas.openxmlformats.org/officeDocument/2006/bibliography"/>
  </ds:schemaRefs>
</ds:datastoreItem>
</file>

<file path=customXml/itemProps2.xml><?xml version="1.0" encoding="utf-8"?>
<ds:datastoreItem xmlns:ds="http://schemas.openxmlformats.org/officeDocument/2006/customXml" ds:itemID="{BAA78281-0CF3-498B-A993-BD8C061BC720}"/>
</file>

<file path=customXml/itemProps3.xml><?xml version="1.0" encoding="utf-8"?>
<ds:datastoreItem xmlns:ds="http://schemas.openxmlformats.org/officeDocument/2006/customXml" ds:itemID="{C0201595-59B7-4F90-8E0F-854B2A0293B3}"/>
</file>

<file path=customXml/itemProps4.xml><?xml version="1.0" encoding="utf-8"?>
<ds:datastoreItem xmlns:ds="http://schemas.openxmlformats.org/officeDocument/2006/customXml" ds:itemID="{1B170C05-115C-4DA5-AFF4-A54CCC3F26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Gourab Dutta Banik</dc:creator>
  <cp:keywords/>
  <dc:description/>
  <cp:lastModifiedBy>Gourab Dutta Banik</cp:lastModifiedBy>
  <cp:revision>13</cp:revision>
  <dcterms:created xsi:type="dcterms:W3CDTF">2024-03-19T15:12:00Z</dcterms:created>
  <dcterms:modified xsi:type="dcterms:W3CDTF">2024-03-27T16:46:13Z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0x010100CB3C802AD1577B45804A1026AA8449F0</vt:lpwstr>
  </property>
</Properties>
</file>